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bookmarkStart w:id="0" w:name="_GoBack"/>
      <w:bookmarkEnd w:id="0"/>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（2020年度）</w:t>
      </w:r>
    </w:p>
    <w:p>
      <w:pPr>
        <w:spacing w:line="240" w:lineRule="exact"/>
        <w:rPr>
          <w:rFonts w:hint="eastAsia" w:ascii="仿宋_GB2312" w:hAnsi="宋体" w:eastAsia="仿宋_GB2312"/>
          <w:sz w:val="30"/>
          <w:szCs w:val="30"/>
        </w:rPr>
      </w:pP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2058"/>
        <w:gridCol w:w="1346"/>
        <w:gridCol w:w="2067"/>
        <w:gridCol w:w="1360"/>
        <w:gridCol w:w="222"/>
        <w:gridCol w:w="1762"/>
        <w:gridCol w:w="1289"/>
        <w:gridCol w:w="50"/>
        <w:gridCol w:w="656"/>
        <w:gridCol w:w="157"/>
        <w:gridCol w:w="583"/>
        <w:gridCol w:w="358"/>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012"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项目名称</w:t>
            </w:r>
          </w:p>
        </w:tc>
        <w:tc>
          <w:tcPr>
            <w:tcW w:w="3988" w:type="pct"/>
            <w:gridSpan w:val="1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民族文化补助(地区补助费)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011"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主管部门</w:t>
            </w:r>
          </w:p>
        </w:tc>
        <w:tc>
          <w:tcPr>
            <w:tcW w:w="2285" w:type="pct"/>
            <w:gridSpan w:val="5"/>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北京市民族宗教事务委员会</w:t>
            </w:r>
          </w:p>
        </w:tc>
        <w:tc>
          <w:tcPr>
            <w:tcW w:w="453"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实施单位</w:t>
            </w:r>
          </w:p>
        </w:tc>
        <w:tc>
          <w:tcPr>
            <w:tcW w:w="1251" w:type="pct"/>
            <w:gridSpan w:val="5"/>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北京市民族文化交流中心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011"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项目负责人</w:t>
            </w:r>
          </w:p>
        </w:tc>
        <w:tc>
          <w:tcPr>
            <w:tcW w:w="2285" w:type="pct"/>
            <w:gridSpan w:val="5"/>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王薇</w:t>
            </w:r>
          </w:p>
        </w:tc>
        <w:tc>
          <w:tcPr>
            <w:tcW w:w="453"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联系电话</w:t>
            </w:r>
          </w:p>
        </w:tc>
        <w:tc>
          <w:tcPr>
            <w:tcW w:w="1251" w:type="pct"/>
            <w:gridSpan w:val="5"/>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64284694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11" w:type="pct"/>
            <w:gridSpan w:val="2"/>
            <w:vMerge w:val="restar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项目资金</w:t>
            </w:r>
            <w:r>
              <w:rPr>
                <w:rFonts w:hint="eastAsia" w:ascii="仿宋" w:hAnsi="仿宋" w:eastAsia="仿宋" w:cs="仿宋"/>
                <w:kern w:val="0"/>
                <w:szCs w:val="21"/>
              </w:rPr>
              <w:br w:type="textWrapping"/>
            </w:r>
            <w:r>
              <w:rPr>
                <w:rFonts w:hint="eastAsia" w:ascii="仿宋" w:hAnsi="仿宋" w:eastAsia="仿宋" w:cs="仿宋"/>
                <w:kern w:val="0"/>
                <w:szCs w:val="21"/>
              </w:rPr>
              <w:t>（万元）</w:t>
            </w:r>
          </w:p>
        </w:tc>
        <w:tc>
          <w:tcPr>
            <w:tcW w:w="1154" w:type="pct"/>
            <w:gridSpan w:val="2"/>
            <w:noWrap w:val="0"/>
            <w:vAlign w:val="center"/>
          </w:tcPr>
          <w:p>
            <w:pPr>
              <w:widowControl/>
              <w:spacing w:line="240" w:lineRule="exact"/>
              <w:jc w:val="center"/>
              <w:rPr>
                <w:rFonts w:hint="eastAsia" w:ascii="仿宋" w:hAnsi="仿宋" w:eastAsia="仿宋" w:cs="仿宋"/>
                <w:kern w:val="0"/>
                <w:szCs w:val="21"/>
              </w:rPr>
            </w:pPr>
          </w:p>
        </w:tc>
        <w:tc>
          <w:tcPr>
            <w:tcW w:w="53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年初预</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算数</w:t>
            </w:r>
          </w:p>
        </w:tc>
        <w:tc>
          <w:tcPr>
            <w:tcW w:w="595"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全年预</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算数</w:t>
            </w:r>
          </w:p>
        </w:tc>
        <w:tc>
          <w:tcPr>
            <w:tcW w:w="453"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执行数</w:t>
            </w:r>
          </w:p>
        </w:tc>
        <w:tc>
          <w:tcPr>
            <w:tcW w:w="27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318"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执行率</w:t>
            </w:r>
          </w:p>
        </w:tc>
        <w:tc>
          <w:tcPr>
            <w:tcW w:w="657"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011" w:type="pct"/>
            <w:gridSpan w:val="2"/>
            <w:vMerge w:val="continue"/>
            <w:noWrap w:val="0"/>
            <w:vAlign w:val="center"/>
          </w:tcPr>
          <w:p>
            <w:pPr>
              <w:widowControl/>
              <w:spacing w:line="240" w:lineRule="exact"/>
              <w:jc w:val="center"/>
              <w:rPr>
                <w:rFonts w:hint="eastAsia" w:ascii="仿宋" w:hAnsi="仿宋" w:eastAsia="仿宋" w:cs="仿宋"/>
                <w:kern w:val="0"/>
                <w:szCs w:val="21"/>
              </w:rPr>
            </w:pPr>
          </w:p>
        </w:tc>
        <w:tc>
          <w:tcPr>
            <w:tcW w:w="1154" w:type="pct"/>
            <w:gridSpan w:val="2"/>
            <w:noWrap w:val="0"/>
            <w:vAlign w:val="center"/>
          </w:tcPr>
          <w:p>
            <w:pPr>
              <w:widowControl/>
              <w:spacing w:line="240" w:lineRule="exact"/>
              <w:rPr>
                <w:rFonts w:hint="eastAsia" w:ascii="仿宋" w:hAnsi="仿宋" w:eastAsia="仿宋" w:cs="仿宋"/>
                <w:kern w:val="0"/>
                <w:szCs w:val="21"/>
              </w:rPr>
            </w:pPr>
            <w:r>
              <w:rPr>
                <w:rFonts w:hint="eastAsia" w:ascii="仿宋" w:hAnsi="仿宋" w:eastAsia="仿宋" w:cs="仿宋"/>
                <w:kern w:val="0"/>
                <w:szCs w:val="21"/>
              </w:rPr>
              <w:t>年度资金总额</w:t>
            </w:r>
          </w:p>
        </w:tc>
        <w:tc>
          <w:tcPr>
            <w:tcW w:w="53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r>
              <w:rPr>
                <w:rFonts w:ascii="仿宋" w:hAnsi="仿宋" w:eastAsia="仿宋" w:cs="仿宋"/>
                <w:kern w:val="0"/>
                <w:szCs w:val="21"/>
              </w:rPr>
              <w:t>20</w:t>
            </w:r>
            <w:r>
              <w:rPr>
                <w:rFonts w:hint="eastAsia" w:ascii="仿宋" w:hAnsi="仿宋" w:eastAsia="仿宋" w:cs="仿宋"/>
                <w:kern w:val="0"/>
                <w:szCs w:val="21"/>
              </w:rPr>
              <w:t>.</w:t>
            </w:r>
            <w:r>
              <w:rPr>
                <w:rFonts w:ascii="仿宋" w:hAnsi="仿宋" w:eastAsia="仿宋" w:cs="仿宋"/>
                <w:kern w:val="0"/>
                <w:szCs w:val="21"/>
              </w:rPr>
              <w:t>0</w:t>
            </w:r>
            <w:r>
              <w:rPr>
                <w:rFonts w:hint="eastAsia" w:ascii="仿宋" w:hAnsi="仿宋" w:eastAsia="仿宋" w:cs="仿宋"/>
                <w:kern w:val="0"/>
                <w:szCs w:val="21"/>
              </w:rPr>
              <w:t>0</w:t>
            </w:r>
          </w:p>
        </w:tc>
        <w:tc>
          <w:tcPr>
            <w:tcW w:w="595"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118.50</w:t>
            </w:r>
          </w:p>
        </w:tc>
        <w:tc>
          <w:tcPr>
            <w:tcW w:w="453"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118.50</w:t>
            </w:r>
          </w:p>
        </w:tc>
        <w:tc>
          <w:tcPr>
            <w:tcW w:w="27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318" w:type="pct"/>
            <w:gridSpan w:val="2"/>
            <w:noWrap w:val="0"/>
            <w:vAlign w:val="center"/>
          </w:tcPr>
          <w:p>
            <w:pPr>
              <w:jc w:val="center"/>
              <w:rPr>
                <w:rFonts w:hint="eastAsia" w:ascii="仿宋" w:hAnsi="仿宋" w:eastAsia="仿宋" w:cs="仿宋"/>
                <w:szCs w:val="21"/>
              </w:rPr>
            </w:pPr>
            <w:r>
              <w:rPr>
                <w:rFonts w:hint="eastAsia" w:ascii="仿宋" w:hAnsi="仿宋" w:eastAsia="仿宋" w:cs="仿宋"/>
                <w:szCs w:val="21"/>
              </w:rPr>
              <w:t>100%</w:t>
            </w:r>
          </w:p>
        </w:tc>
        <w:tc>
          <w:tcPr>
            <w:tcW w:w="657"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011" w:type="pct"/>
            <w:gridSpan w:val="2"/>
            <w:vMerge w:val="continue"/>
            <w:noWrap w:val="0"/>
            <w:vAlign w:val="center"/>
          </w:tcPr>
          <w:p>
            <w:pPr>
              <w:widowControl/>
              <w:spacing w:line="240" w:lineRule="exact"/>
              <w:jc w:val="center"/>
              <w:rPr>
                <w:rFonts w:hint="eastAsia" w:ascii="仿宋" w:hAnsi="仿宋" w:eastAsia="仿宋" w:cs="仿宋"/>
                <w:kern w:val="0"/>
                <w:szCs w:val="21"/>
              </w:rPr>
            </w:pPr>
          </w:p>
        </w:tc>
        <w:tc>
          <w:tcPr>
            <w:tcW w:w="1154" w:type="pct"/>
            <w:gridSpan w:val="2"/>
            <w:noWrap w:val="0"/>
            <w:vAlign w:val="center"/>
          </w:tcPr>
          <w:p>
            <w:pPr>
              <w:widowControl/>
              <w:spacing w:line="240" w:lineRule="exact"/>
              <w:rPr>
                <w:rFonts w:hint="eastAsia" w:ascii="仿宋" w:hAnsi="仿宋" w:eastAsia="仿宋" w:cs="仿宋"/>
                <w:kern w:val="0"/>
                <w:szCs w:val="21"/>
              </w:rPr>
            </w:pPr>
            <w:r>
              <w:rPr>
                <w:rFonts w:hint="eastAsia" w:ascii="仿宋" w:hAnsi="仿宋" w:eastAsia="仿宋" w:cs="仿宋"/>
                <w:kern w:val="0"/>
                <w:szCs w:val="21"/>
              </w:rPr>
              <w:t>其中：当年财政拨款</w:t>
            </w:r>
          </w:p>
        </w:tc>
        <w:tc>
          <w:tcPr>
            <w:tcW w:w="53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r>
              <w:rPr>
                <w:rFonts w:ascii="仿宋" w:hAnsi="仿宋" w:eastAsia="仿宋" w:cs="仿宋"/>
                <w:kern w:val="0"/>
                <w:szCs w:val="21"/>
              </w:rPr>
              <w:t>20</w:t>
            </w:r>
            <w:r>
              <w:rPr>
                <w:rFonts w:hint="eastAsia" w:ascii="仿宋" w:hAnsi="仿宋" w:eastAsia="仿宋" w:cs="仿宋"/>
                <w:kern w:val="0"/>
                <w:szCs w:val="21"/>
              </w:rPr>
              <w:t>.</w:t>
            </w:r>
            <w:r>
              <w:rPr>
                <w:rFonts w:ascii="仿宋" w:hAnsi="仿宋" w:eastAsia="仿宋" w:cs="仿宋"/>
                <w:kern w:val="0"/>
                <w:szCs w:val="21"/>
              </w:rPr>
              <w:t>0</w:t>
            </w:r>
            <w:r>
              <w:rPr>
                <w:rFonts w:hint="eastAsia" w:ascii="仿宋" w:hAnsi="仿宋" w:eastAsia="仿宋" w:cs="仿宋"/>
                <w:kern w:val="0"/>
                <w:szCs w:val="21"/>
              </w:rPr>
              <w:t>0</w:t>
            </w:r>
          </w:p>
        </w:tc>
        <w:tc>
          <w:tcPr>
            <w:tcW w:w="595"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118.50</w:t>
            </w:r>
          </w:p>
        </w:tc>
        <w:tc>
          <w:tcPr>
            <w:tcW w:w="453"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118.50</w:t>
            </w:r>
          </w:p>
        </w:tc>
        <w:tc>
          <w:tcPr>
            <w:tcW w:w="27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318" w:type="pct"/>
            <w:gridSpan w:val="2"/>
            <w:noWrap w:val="0"/>
            <w:vAlign w:val="center"/>
          </w:tcPr>
          <w:p>
            <w:pPr>
              <w:jc w:val="center"/>
              <w:rPr>
                <w:rFonts w:hint="eastAsia" w:ascii="仿宋" w:hAnsi="仿宋" w:eastAsia="仿宋" w:cs="仿宋"/>
                <w:szCs w:val="21"/>
              </w:rPr>
            </w:pPr>
            <w:r>
              <w:rPr>
                <w:rFonts w:hint="eastAsia" w:ascii="仿宋" w:hAnsi="仿宋" w:eastAsia="仿宋" w:cs="仿宋"/>
                <w:szCs w:val="21"/>
              </w:rPr>
              <w:t>100%</w:t>
            </w:r>
          </w:p>
        </w:tc>
        <w:tc>
          <w:tcPr>
            <w:tcW w:w="657" w:type="pct"/>
            <w:noWrap w:val="0"/>
            <w:vAlign w:val="center"/>
          </w:tcPr>
          <w:p>
            <w:pPr>
              <w:jc w:val="center"/>
              <w:rPr>
                <w:rFonts w:hint="eastAsia" w:ascii="仿宋" w:hAnsi="仿宋" w:eastAsia="仿宋" w:cs="仿宋"/>
                <w:szCs w:val="21"/>
              </w:rPr>
            </w:pPr>
            <w:r>
              <w:rPr>
                <w:rFonts w:hint="eastAsia" w:ascii="仿宋" w:hAnsi="仿宋" w:eastAsia="仿宋" w:cs="仿宋"/>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011" w:type="pct"/>
            <w:gridSpan w:val="2"/>
            <w:vMerge w:val="continue"/>
            <w:noWrap w:val="0"/>
            <w:vAlign w:val="center"/>
          </w:tcPr>
          <w:p>
            <w:pPr>
              <w:widowControl/>
              <w:spacing w:line="240" w:lineRule="exact"/>
              <w:jc w:val="center"/>
              <w:rPr>
                <w:rFonts w:hint="eastAsia" w:ascii="仿宋" w:hAnsi="仿宋" w:eastAsia="仿宋" w:cs="仿宋"/>
                <w:kern w:val="0"/>
                <w:szCs w:val="21"/>
              </w:rPr>
            </w:pPr>
          </w:p>
        </w:tc>
        <w:tc>
          <w:tcPr>
            <w:tcW w:w="1154" w:type="pct"/>
            <w:gridSpan w:val="2"/>
            <w:noWrap w:val="0"/>
            <w:vAlign w:val="center"/>
          </w:tcPr>
          <w:p>
            <w:pPr>
              <w:widowControl/>
              <w:spacing w:line="240" w:lineRule="exact"/>
              <w:ind w:firstLine="630" w:firstLineChars="300"/>
              <w:rPr>
                <w:rFonts w:hint="eastAsia" w:ascii="仿宋" w:hAnsi="仿宋" w:eastAsia="仿宋" w:cs="仿宋"/>
                <w:kern w:val="0"/>
                <w:szCs w:val="21"/>
              </w:rPr>
            </w:pPr>
            <w:r>
              <w:rPr>
                <w:rFonts w:hint="eastAsia" w:ascii="仿宋" w:hAnsi="仿宋" w:eastAsia="仿宋" w:cs="仿宋"/>
                <w:kern w:val="0"/>
                <w:szCs w:val="21"/>
              </w:rPr>
              <w:t>上年结转资金</w:t>
            </w:r>
          </w:p>
        </w:tc>
        <w:tc>
          <w:tcPr>
            <w:tcW w:w="53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0.00</w:t>
            </w:r>
          </w:p>
        </w:tc>
        <w:tc>
          <w:tcPr>
            <w:tcW w:w="595"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szCs w:val="21"/>
              </w:rPr>
              <w:t>0.00</w:t>
            </w:r>
          </w:p>
        </w:tc>
        <w:tc>
          <w:tcPr>
            <w:tcW w:w="453"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szCs w:val="21"/>
              </w:rPr>
              <w:t>0.00</w:t>
            </w:r>
          </w:p>
        </w:tc>
        <w:tc>
          <w:tcPr>
            <w:tcW w:w="27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318"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657"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6" w:hRule="exact"/>
          <w:jc w:val="center"/>
        </w:trPr>
        <w:tc>
          <w:tcPr>
            <w:tcW w:w="1011" w:type="pct"/>
            <w:gridSpan w:val="2"/>
            <w:vMerge w:val="continue"/>
            <w:noWrap w:val="0"/>
            <w:vAlign w:val="center"/>
          </w:tcPr>
          <w:p>
            <w:pPr>
              <w:widowControl/>
              <w:spacing w:line="240" w:lineRule="exact"/>
              <w:jc w:val="center"/>
              <w:rPr>
                <w:rFonts w:hint="eastAsia" w:ascii="仿宋" w:hAnsi="仿宋" w:eastAsia="仿宋" w:cs="仿宋"/>
                <w:kern w:val="0"/>
                <w:szCs w:val="21"/>
              </w:rPr>
            </w:pPr>
          </w:p>
        </w:tc>
        <w:tc>
          <w:tcPr>
            <w:tcW w:w="1154" w:type="pct"/>
            <w:gridSpan w:val="2"/>
            <w:noWrap w:val="0"/>
            <w:vAlign w:val="center"/>
          </w:tcPr>
          <w:p>
            <w:pPr>
              <w:widowControl/>
              <w:spacing w:line="240" w:lineRule="exact"/>
              <w:ind w:firstLine="630" w:firstLineChars="300"/>
              <w:rPr>
                <w:rFonts w:hint="eastAsia" w:ascii="仿宋" w:hAnsi="仿宋" w:eastAsia="仿宋" w:cs="仿宋"/>
                <w:kern w:val="0"/>
                <w:szCs w:val="21"/>
              </w:rPr>
            </w:pPr>
            <w:r>
              <w:rPr>
                <w:rFonts w:hint="eastAsia" w:ascii="仿宋" w:hAnsi="仿宋" w:eastAsia="仿宋" w:cs="仿宋"/>
                <w:kern w:val="0"/>
                <w:szCs w:val="21"/>
              </w:rPr>
              <w:t>其他资金</w:t>
            </w:r>
          </w:p>
        </w:tc>
        <w:tc>
          <w:tcPr>
            <w:tcW w:w="53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0.00</w:t>
            </w:r>
          </w:p>
        </w:tc>
        <w:tc>
          <w:tcPr>
            <w:tcW w:w="595"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szCs w:val="21"/>
              </w:rPr>
              <w:t>0.00</w:t>
            </w:r>
          </w:p>
        </w:tc>
        <w:tc>
          <w:tcPr>
            <w:tcW w:w="453"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szCs w:val="21"/>
              </w:rPr>
              <w:t>0.00</w:t>
            </w:r>
          </w:p>
        </w:tc>
        <w:tc>
          <w:tcPr>
            <w:tcW w:w="275"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318" w:type="pct"/>
            <w:gridSpan w:val="2"/>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657" w:type="pc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exact"/>
          <w:jc w:val="center"/>
        </w:trPr>
        <w:tc>
          <w:tcPr>
            <w:tcW w:w="316" w:type="pct"/>
            <w:vMerge w:val="restart"/>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年度总体目标</w:t>
            </w:r>
          </w:p>
        </w:tc>
        <w:tc>
          <w:tcPr>
            <w:tcW w:w="2981" w:type="pct"/>
            <w:gridSpan w:val="6"/>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预期目标</w:t>
            </w:r>
          </w:p>
        </w:tc>
        <w:tc>
          <w:tcPr>
            <w:tcW w:w="1704" w:type="pct"/>
            <w:gridSpan w:val="7"/>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8" w:hRule="exact"/>
          <w:jc w:val="center"/>
        </w:trPr>
        <w:tc>
          <w:tcPr>
            <w:tcW w:w="316" w:type="pct"/>
            <w:vMerge w:val="continue"/>
            <w:noWrap w:val="0"/>
            <w:vAlign w:val="center"/>
          </w:tcPr>
          <w:p>
            <w:pPr>
              <w:widowControl/>
              <w:spacing w:line="240" w:lineRule="exact"/>
              <w:jc w:val="center"/>
              <w:rPr>
                <w:rFonts w:hint="eastAsia" w:ascii="仿宋" w:hAnsi="仿宋" w:eastAsia="仿宋" w:cs="仿宋"/>
                <w:kern w:val="0"/>
                <w:szCs w:val="21"/>
              </w:rPr>
            </w:pPr>
          </w:p>
        </w:tc>
        <w:tc>
          <w:tcPr>
            <w:tcW w:w="2981" w:type="pct"/>
            <w:gridSpan w:val="6"/>
            <w:noWrap w:val="0"/>
            <w:vAlign w:val="center"/>
          </w:tcPr>
          <w:p>
            <w:pPr>
              <w:widowControl/>
              <w:spacing w:line="240" w:lineRule="exact"/>
              <w:jc w:val="left"/>
              <w:rPr>
                <w:rFonts w:hint="eastAsia" w:ascii="仿宋" w:hAnsi="仿宋" w:eastAsia="仿宋" w:cs="仿宋"/>
                <w:kern w:val="0"/>
                <w:szCs w:val="21"/>
              </w:rPr>
            </w:pPr>
            <w:r>
              <w:rPr>
                <w:rFonts w:hint="eastAsia" w:ascii="仿宋" w:hAnsi="仿宋" w:eastAsia="仿宋" w:cs="仿宋"/>
                <w:kern w:val="0"/>
                <w:szCs w:val="21"/>
              </w:rPr>
              <w:t>通过举办民族电影展、民族文化体育展等民族团结创建工作展，丰富民族文化工作的多元开展形式，较好地搭建民族文化交往交流交融的大平台，有效开展民族团结进步教育，铸牢中华民族共同体意识。创新民族工作方式载体，将民族工作进机关、进企业、进社区、进乡镇、进学校、进连队、进宗教活动场所等落到实处。传播民族文化知识，展示各民族文化艺术作品，为少数民族群众搭建展示交流和宣传推广平台，达到让少数民族群众感受到党和政府及首都各族人民的关爱，有效促进各民族交往交流交融的效果。</w:t>
            </w:r>
          </w:p>
        </w:tc>
        <w:tc>
          <w:tcPr>
            <w:tcW w:w="1704" w:type="pct"/>
            <w:gridSpan w:val="7"/>
            <w:noWrap w:val="0"/>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较好地完成了各项活动任务，通过项目实施，推动了民族团结进步创建工作的开展。项目实施进度与预期进度基本相符合，圆满完成计划目标。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316" w:type="pct"/>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绩</w:t>
            </w:r>
            <w:r>
              <w:rPr>
                <w:rFonts w:hint="eastAsia" w:ascii="仿宋" w:hAnsi="仿宋" w:eastAsia="仿宋" w:cs="宋体"/>
                <w:kern w:val="0"/>
                <w:szCs w:val="21"/>
              </w:rPr>
              <w:br w:type="textWrapping"/>
            </w:r>
            <w:r>
              <w:rPr>
                <w:rFonts w:hint="eastAsia" w:ascii="仿宋" w:hAnsi="仿宋" w:eastAsia="仿宋" w:cs="宋体"/>
                <w:kern w:val="0"/>
                <w:szCs w:val="21"/>
              </w:rPr>
              <w:t>效</w:t>
            </w:r>
            <w:r>
              <w:rPr>
                <w:rFonts w:hint="eastAsia" w:ascii="仿宋" w:hAnsi="仿宋" w:eastAsia="仿宋" w:cs="宋体"/>
                <w:kern w:val="0"/>
                <w:szCs w:val="21"/>
              </w:rPr>
              <w:br w:type="textWrapping"/>
            </w:r>
            <w:r>
              <w:rPr>
                <w:rFonts w:hint="eastAsia" w:ascii="仿宋" w:hAnsi="仿宋" w:eastAsia="仿宋" w:cs="宋体"/>
                <w:kern w:val="0"/>
                <w:szCs w:val="21"/>
              </w:rPr>
              <w:t>指</w:t>
            </w:r>
            <w:r>
              <w:rPr>
                <w:rFonts w:hint="eastAsia" w:ascii="仿宋" w:hAnsi="仿宋" w:eastAsia="仿宋" w:cs="宋体"/>
                <w:kern w:val="0"/>
                <w:szCs w:val="21"/>
              </w:rPr>
              <w:br w:type="textWrapping"/>
            </w:r>
            <w:r>
              <w:rPr>
                <w:rFonts w:hint="eastAsia" w:ascii="仿宋" w:hAnsi="仿宋" w:eastAsia="仿宋" w:cs="宋体"/>
                <w:kern w:val="0"/>
                <w:szCs w:val="21"/>
              </w:rPr>
              <w:t>标</w:t>
            </w:r>
          </w:p>
        </w:tc>
        <w:tc>
          <w:tcPr>
            <w:tcW w:w="69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一级指标</w:t>
            </w:r>
          </w:p>
        </w:tc>
        <w:tc>
          <w:tcPr>
            <w:tcW w:w="455"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二级指标</w:t>
            </w:r>
          </w:p>
        </w:tc>
        <w:tc>
          <w:tcPr>
            <w:tcW w:w="115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三级指标</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年度</w:t>
            </w:r>
          </w:p>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指标值</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实际</w:t>
            </w:r>
          </w:p>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完成值</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分值</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得分</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产出指标（50分）</w:t>
            </w:r>
          </w:p>
        </w:tc>
        <w:tc>
          <w:tcPr>
            <w:tcW w:w="455" w:type="pct"/>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数量指标</w:t>
            </w: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民族团结创建工作主题展展览次数</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ascii="仿宋" w:hAnsi="仿宋" w:eastAsia="仿宋" w:cs="宋体"/>
                <w:kern w:val="0"/>
                <w:szCs w:val="21"/>
              </w:rPr>
              <w:t>4</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民族团结创建工作主题展展览天数</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≥30</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254</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民族团结主题创建系列活动举办次数</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≥15</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49</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民族团结主题创建系列活动视频完成数</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15</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质量指标</w:t>
            </w: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民族团结创建工作主题展</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视频及文字制作清晰，表达正确。</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达成预期指标</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应进一步完善验收资料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民族团结创建工作主题展</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活动项目方案完整，内容丰富。</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达成预期指标</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项目方案不够完整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3"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民族团结主题创建系列活动</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视频及文字制作清晰，表达正确。</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达成预期指标</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4</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应进一步完善验收资料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民族团结主题创建系列活动</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交流任务按计划完成</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交流任务按计划完成</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3</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时效指标</w:t>
            </w: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民族团结创建工作主题展</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展览时间为8月-12月</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8月-12月完成</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2.5</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2.5</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民族团结主题创建系列活动</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2020年12月底前</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2020年12月底前</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2.5</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2.5</w:t>
            </w:r>
          </w:p>
        </w:tc>
        <w:tc>
          <w:tcPr>
            <w:tcW w:w="779" w:type="pct"/>
            <w:gridSpan w:val="2"/>
            <w:noWrap w:val="0"/>
            <w:vAlign w:val="center"/>
          </w:tcPr>
          <w:p>
            <w:pPr>
              <w:widowControl/>
              <w:spacing w:line="240" w:lineRule="exact"/>
              <w:jc w:val="center"/>
              <w:rPr>
                <w:rFonts w:hint="eastAsia"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2"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成本指标</w:t>
            </w: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民族团结创建工作主题展</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52.55万元</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54.50万元</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7.5</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7</w:t>
            </w:r>
          </w:p>
        </w:tc>
        <w:tc>
          <w:tcPr>
            <w:tcW w:w="779" w:type="pct"/>
            <w:gridSpan w:val="2"/>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该项目包含民族团结创建工作主题展与民族团结主题创建系列活动两部分，其都服务于民族团结创建工作。主题展资金不足部分由民族团结主题创建系列活动进行了补充。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民族团结主题创建系列活动</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65.95万元</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64.00万元</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7.5</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7.5</w:t>
            </w:r>
          </w:p>
        </w:tc>
        <w:tc>
          <w:tcPr>
            <w:tcW w:w="778" w:type="pct"/>
            <w:gridSpan w:val="2"/>
            <w:vMerge w:val="continue"/>
            <w:noWrap w:val="0"/>
            <w:vAlign w:val="center"/>
          </w:tcPr>
          <w:p>
            <w:pPr>
              <w:widowControl/>
              <w:spacing w:line="240" w:lineRule="exact"/>
              <w:jc w:val="center"/>
              <w:rPr>
                <w:rFonts w:hint="eastAsia"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效益指标（30分）</w:t>
            </w:r>
          </w:p>
        </w:tc>
        <w:tc>
          <w:tcPr>
            <w:tcW w:w="455" w:type="pct"/>
            <w:vMerge w:val="restar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社会效益</w:t>
            </w:r>
          </w:p>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指标</w:t>
            </w: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民族团结创建工作主题展</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较好地搭建民族文化交往交流交融的大平台，铸牢中华民族共同体意识。</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达成预期指标</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15</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13</w:t>
            </w:r>
          </w:p>
        </w:tc>
        <w:tc>
          <w:tcPr>
            <w:tcW w:w="778"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应进一步量化对比数据分析支撑依据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5"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vMerge w:val="continue"/>
            <w:noWrap w:val="0"/>
            <w:vAlign w:val="center"/>
          </w:tcPr>
          <w:p>
            <w:pPr>
              <w:widowControl/>
              <w:spacing w:line="240" w:lineRule="exact"/>
              <w:jc w:val="center"/>
              <w:rPr>
                <w:rFonts w:hint="eastAsia" w:ascii="仿宋" w:hAnsi="仿宋" w:eastAsia="仿宋" w:cs="宋体"/>
                <w:kern w:val="0"/>
                <w:szCs w:val="21"/>
              </w:rPr>
            </w:pPr>
          </w:p>
        </w:tc>
        <w:tc>
          <w:tcPr>
            <w:tcW w:w="455" w:type="pct"/>
            <w:vMerge w:val="continue"/>
            <w:noWrap w:val="0"/>
            <w:vAlign w:val="center"/>
          </w:tcPr>
          <w:p>
            <w:pPr>
              <w:widowControl/>
              <w:spacing w:line="240" w:lineRule="exact"/>
              <w:jc w:val="center"/>
              <w:rPr>
                <w:rFonts w:hint="eastAsia" w:ascii="仿宋" w:hAnsi="仿宋" w:eastAsia="仿宋" w:cs="宋体"/>
                <w:kern w:val="0"/>
                <w:szCs w:val="21"/>
              </w:rPr>
            </w:pP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民族团结主题创建系列活动</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创新民族工作方式载体，有效开展民族团结进步教育，将民族工作进机关、进企业、进社区、进乡镇、进学校、进连队、进宗教活动场所等落到实处。</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达成预期指标</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15</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13</w:t>
            </w:r>
          </w:p>
        </w:tc>
        <w:tc>
          <w:tcPr>
            <w:tcW w:w="778"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应进一步量化对比数据分析支撑依据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316" w:type="pct"/>
            <w:vMerge w:val="continue"/>
            <w:noWrap w:val="0"/>
            <w:vAlign w:val="center"/>
          </w:tcPr>
          <w:p>
            <w:pPr>
              <w:widowControl/>
              <w:spacing w:line="240" w:lineRule="exact"/>
              <w:jc w:val="center"/>
              <w:rPr>
                <w:rFonts w:hint="eastAsia" w:ascii="仿宋" w:hAnsi="仿宋" w:eastAsia="仿宋" w:cs="宋体"/>
                <w:kern w:val="0"/>
                <w:szCs w:val="21"/>
              </w:rPr>
            </w:pPr>
          </w:p>
        </w:tc>
        <w:tc>
          <w:tcPr>
            <w:tcW w:w="69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满意度指标（10分）</w:t>
            </w:r>
          </w:p>
        </w:tc>
        <w:tc>
          <w:tcPr>
            <w:tcW w:w="455"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服务对象满意度</w:t>
            </w:r>
          </w:p>
        </w:tc>
        <w:tc>
          <w:tcPr>
            <w:tcW w:w="1159" w:type="pct"/>
            <w:gridSpan w:val="2"/>
            <w:noWrap w:val="0"/>
            <w:vAlign w:val="center"/>
          </w:tcPr>
          <w:p>
            <w:pPr>
              <w:widowControl/>
              <w:spacing w:line="240" w:lineRule="exact"/>
              <w:jc w:val="left"/>
              <w:rPr>
                <w:rFonts w:hint="eastAsia" w:ascii="仿宋" w:hAnsi="仿宋" w:eastAsia="仿宋" w:cs="宋体"/>
                <w:kern w:val="0"/>
                <w:szCs w:val="21"/>
              </w:rPr>
            </w:pPr>
            <w:r>
              <w:rPr>
                <w:rFonts w:hint="eastAsia" w:ascii="仿宋" w:hAnsi="仿宋" w:eastAsia="仿宋" w:cs="宋体"/>
                <w:kern w:val="0"/>
                <w:szCs w:val="21"/>
              </w:rPr>
              <w:t>学习人员满意度</w:t>
            </w:r>
          </w:p>
        </w:tc>
        <w:tc>
          <w:tcPr>
            <w:tcW w:w="671"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≥95%</w:t>
            </w:r>
          </w:p>
        </w:tc>
        <w:tc>
          <w:tcPr>
            <w:tcW w:w="436" w:type="pct"/>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95%</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10</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8</w:t>
            </w:r>
          </w:p>
        </w:tc>
        <w:tc>
          <w:tcPr>
            <w:tcW w:w="778"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满意度调查样本量偏低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exact"/>
          <w:jc w:val="center"/>
        </w:trPr>
        <w:tc>
          <w:tcPr>
            <w:tcW w:w="3733" w:type="pct"/>
            <w:gridSpan w:val="8"/>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总分</w:t>
            </w:r>
          </w:p>
        </w:tc>
        <w:tc>
          <w:tcPr>
            <w:tcW w:w="239"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100</w:t>
            </w:r>
          </w:p>
        </w:tc>
        <w:tc>
          <w:tcPr>
            <w:tcW w:w="250" w:type="pct"/>
            <w:gridSpan w:val="2"/>
            <w:noWrap w:val="0"/>
            <w:vAlign w:val="center"/>
          </w:tcPr>
          <w:p>
            <w:pPr>
              <w:widowControl/>
              <w:spacing w:line="240" w:lineRule="exact"/>
              <w:jc w:val="center"/>
              <w:rPr>
                <w:rFonts w:hint="eastAsia" w:ascii="仿宋" w:hAnsi="仿宋" w:eastAsia="仿宋" w:cs="宋体"/>
                <w:kern w:val="0"/>
                <w:szCs w:val="21"/>
              </w:rPr>
            </w:pPr>
            <w:r>
              <w:rPr>
                <w:rFonts w:hint="eastAsia" w:ascii="仿宋" w:hAnsi="仿宋" w:eastAsia="仿宋" w:cs="宋体"/>
                <w:kern w:val="0"/>
                <w:szCs w:val="21"/>
              </w:rPr>
              <w:t>90.5</w:t>
            </w:r>
          </w:p>
        </w:tc>
        <w:tc>
          <w:tcPr>
            <w:tcW w:w="778" w:type="pct"/>
            <w:gridSpan w:val="2"/>
            <w:noWrap w:val="0"/>
            <w:vAlign w:val="center"/>
          </w:tcPr>
          <w:p>
            <w:pPr>
              <w:widowControl/>
              <w:spacing w:line="240" w:lineRule="exact"/>
              <w:jc w:val="center"/>
              <w:rPr>
                <w:rFonts w:hint="eastAsia" w:ascii="仿宋" w:hAnsi="仿宋" w:eastAsia="仿宋" w:cs="宋体"/>
                <w:kern w:val="0"/>
                <w:szCs w:val="21"/>
              </w:rPr>
            </w:pPr>
          </w:p>
        </w:tc>
      </w:tr>
    </w:tbl>
    <w:p>
      <w:pPr>
        <w:spacing w:line="0" w:lineRule="atLeast"/>
        <w:outlineLvl w:val="0"/>
        <w:rPr>
          <w:rFonts w:ascii="宋体" w:hAnsi="宋体" w:cs="宋体"/>
          <w:b/>
          <w:bCs/>
          <w:spacing w:val="40"/>
          <w:kern w:val="0"/>
          <w:sz w:val="32"/>
          <w:szCs w:val="32"/>
        </w:rPr>
      </w:pPr>
    </w:p>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884F3E-82F8-4B83-9ADC-A57E9C462E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8DA17EB-16E8-4163-A1E5-C83963374F59}"/>
  </w:font>
  <w:font w:name="方正小标宋简体">
    <w:panose1 w:val="02000000000000000000"/>
    <w:charset w:val="86"/>
    <w:family w:val="script"/>
    <w:pitch w:val="default"/>
    <w:sig w:usb0="00000001" w:usb1="080E0000" w:usb2="00000000" w:usb3="00000000" w:csb0="00040000" w:csb1="00000000"/>
    <w:embedRegular r:id="rId3" w:fontKey="{4C03F689-5C2C-4DCF-BB22-D8CDC4E2A952}"/>
  </w:font>
  <w:font w:name="仿宋_GB2312">
    <w:panose1 w:val="02010609030101010101"/>
    <w:charset w:val="86"/>
    <w:family w:val="modern"/>
    <w:pitch w:val="default"/>
    <w:sig w:usb0="00000001" w:usb1="080E0000" w:usb2="00000000" w:usb3="00000000" w:csb0="00040000" w:csb1="00000000"/>
    <w:embedRegular r:id="rId4" w:fontKey="{9A69B78D-72E8-4DC8-BE6F-A6A60F912910}"/>
  </w:font>
  <w:font w:name="仿宋">
    <w:panose1 w:val="02010609060101010101"/>
    <w:charset w:val="86"/>
    <w:family w:val="auto"/>
    <w:pitch w:val="default"/>
    <w:sig w:usb0="800002BF" w:usb1="38CF7CFA" w:usb2="00000016" w:usb3="00000000" w:csb0="00040001" w:csb1="00000000"/>
    <w:embedRegular r:id="rId5" w:fontKey="{2E34D50B-B7FB-4E97-B8D4-4E63DB2A54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3YTY4N2M2OGMxYjFjM2E4MDUyZDk0NDhmNGE0YTIifQ=="/>
  </w:docVars>
  <w:rsids>
    <w:rsidRoot w:val="00000000"/>
    <w:rsid w:val="42D86C35"/>
    <w:rsid w:val="7CE95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taiji</dc:creator>
  <cp:lastModifiedBy> 祺</cp:lastModifiedBy>
  <dcterms:modified xsi:type="dcterms:W3CDTF">2023-11-17T12:01:30Z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51CFF9C2FE6043A5B24A5CF25A48DE4C</vt:lpwstr>
  </property>
</Properties>
</file>