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28"/>
          <w:szCs w:val="28"/>
        </w:rPr>
      </w:pPr>
      <w:r>
        <w:rPr>
          <w:rFonts w:ascii="仿宋" w:hAnsi="仿宋" w:eastAsia="仿宋"/>
          <w:sz w:val="28"/>
          <w:szCs w:val="28"/>
        </w:rPr>
        <w:t>2022年度部门绩效评价</w:t>
      </w:r>
      <w:r>
        <w:rPr>
          <w:rFonts w:hint="eastAsia" w:ascii="仿宋" w:hAnsi="仿宋" w:eastAsia="仿宋"/>
          <w:sz w:val="28"/>
          <w:szCs w:val="28"/>
        </w:rPr>
        <w:t>报告</w:t>
      </w:r>
    </w:p>
    <w:p>
      <w:pPr>
        <w:rPr>
          <w:rFonts w:ascii="仿宋" w:hAnsi="仿宋" w:eastAsia="仿宋"/>
          <w:sz w:val="28"/>
          <w:szCs w:val="28"/>
        </w:rPr>
      </w:pPr>
      <w:r>
        <w:rPr>
          <w:rFonts w:hint="eastAsia" w:ascii="仿宋" w:hAnsi="仿宋" w:eastAsia="仿宋"/>
          <w:sz w:val="28"/>
          <w:szCs w:val="28"/>
        </w:rPr>
        <w:t>　　一、部门整体绩效评价报告</w:t>
      </w:r>
    </w:p>
    <w:p>
      <w:pPr>
        <w:rPr>
          <w:rFonts w:ascii="仿宋" w:hAnsi="仿宋" w:eastAsia="仿宋"/>
          <w:sz w:val="28"/>
          <w:szCs w:val="28"/>
        </w:rPr>
      </w:pPr>
      <w:r>
        <w:rPr>
          <w:rFonts w:hint="eastAsia" w:ascii="仿宋" w:hAnsi="仿宋" w:eastAsia="仿宋"/>
          <w:sz w:val="28"/>
          <w:szCs w:val="28"/>
        </w:rPr>
        <w:t>　　（一）机构设置及职责工作任务情况</w:t>
      </w:r>
    </w:p>
    <w:p>
      <w:pPr>
        <w:ind w:firstLine="560" w:firstLineChars="200"/>
        <w:rPr>
          <w:rFonts w:ascii="仿宋" w:hAnsi="仿宋" w:eastAsia="仿宋"/>
          <w:sz w:val="28"/>
          <w:szCs w:val="28"/>
        </w:rPr>
      </w:pPr>
      <w:r>
        <w:rPr>
          <w:rFonts w:hint="eastAsia" w:ascii="仿宋" w:hAnsi="仿宋" w:eastAsia="仿宋"/>
          <w:sz w:val="28"/>
          <w:szCs w:val="28"/>
        </w:rPr>
        <w:t>北京市民族宗教事务委员会（以下简称“</w:t>
      </w:r>
      <w:r>
        <w:rPr>
          <w:rFonts w:hint="eastAsia" w:ascii="仿宋" w:hAnsi="仿宋" w:eastAsia="仿宋"/>
          <w:sz w:val="28"/>
          <w:szCs w:val="28"/>
          <w:lang w:val="en-US" w:eastAsia="zh-CN"/>
        </w:rPr>
        <w:t>市民族宗教</w:t>
      </w:r>
      <w:r>
        <w:rPr>
          <w:rFonts w:hint="eastAsia" w:ascii="仿宋" w:hAnsi="仿宋" w:eastAsia="仿宋"/>
          <w:sz w:val="28"/>
          <w:szCs w:val="28"/>
        </w:rPr>
        <w:t>委”）是市政府组成部门，为正局级，归口市委统战部领导。</w:t>
      </w:r>
    </w:p>
    <w:p>
      <w:pPr>
        <w:ind w:firstLine="560" w:firstLineChars="200"/>
        <w:rPr>
          <w:rFonts w:ascii="仿宋" w:hAnsi="仿宋" w:eastAsia="仿宋"/>
          <w:sz w:val="28"/>
          <w:szCs w:val="28"/>
        </w:rPr>
      </w:pPr>
      <w:r>
        <w:rPr>
          <w:rFonts w:hint="eastAsia" w:ascii="仿宋" w:hAnsi="仿宋" w:eastAsia="仿宋"/>
          <w:sz w:val="28"/>
          <w:szCs w:val="28"/>
          <w:lang w:eastAsia="zh-CN"/>
        </w:rPr>
        <w:t>市民族宗教委</w:t>
      </w:r>
      <w:r>
        <w:rPr>
          <w:rFonts w:hint="eastAsia" w:ascii="仿宋" w:hAnsi="仿宋" w:eastAsia="仿宋"/>
          <w:sz w:val="28"/>
          <w:szCs w:val="28"/>
        </w:rPr>
        <w:t>贯彻落实党中央关于民族和宗教工作的方针政策、决策部署和市委有关工作要求，在履行职责过程中坚持和加强党对民族和宗教工作的集中统一领导。主要职责是：</w:t>
      </w:r>
    </w:p>
    <w:p>
      <w:pPr>
        <w:ind w:firstLine="560" w:firstLineChars="200"/>
        <w:rPr>
          <w:rFonts w:ascii="仿宋" w:hAnsi="仿宋" w:eastAsia="仿宋"/>
          <w:sz w:val="28"/>
          <w:szCs w:val="28"/>
        </w:rPr>
      </w:pPr>
      <w:r>
        <w:rPr>
          <w:rFonts w:hint="eastAsia" w:ascii="仿宋" w:hAnsi="仿宋" w:eastAsia="仿宋"/>
          <w:sz w:val="28"/>
          <w:szCs w:val="28"/>
        </w:rPr>
        <w:t>（一）组织开展本市民族宗教问题的调查研究工作，起草相关地方性法规草案、政府规章草案，提出有关民族宗教工作的政策建议。</w:t>
      </w:r>
    </w:p>
    <w:p>
      <w:pPr>
        <w:ind w:firstLine="560" w:firstLineChars="200"/>
        <w:rPr>
          <w:rFonts w:ascii="仿宋" w:hAnsi="仿宋" w:eastAsia="仿宋"/>
          <w:sz w:val="28"/>
          <w:szCs w:val="28"/>
        </w:rPr>
      </w:pPr>
      <w:r>
        <w:rPr>
          <w:rFonts w:hint="eastAsia" w:ascii="仿宋" w:hAnsi="仿宋" w:eastAsia="仿宋"/>
          <w:sz w:val="28"/>
          <w:szCs w:val="28"/>
        </w:rPr>
        <w:t>（二）督促检查本市民族宗教工作的政策措施落实情况。负责民族宗教法律法规和政策的宣传教育工作。</w:t>
      </w:r>
    </w:p>
    <w:p>
      <w:pPr>
        <w:ind w:firstLine="560" w:firstLineChars="200"/>
        <w:rPr>
          <w:rFonts w:ascii="仿宋" w:hAnsi="仿宋" w:eastAsia="仿宋"/>
          <w:sz w:val="28"/>
          <w:szCs w:val="28"/>
        </w:rPr>
      </w:pPr>
      <w:r>
        <w:rPr>
          <w:rFonts w:hint="eastAsia" w:ascii="仿宋" w:hAnsi="仿宋" w:eastAsia="仿宋"/>
          <w:sz w:val="28"/>
          <w:szCs w:val="28"/>
        </w:rPr>
        <w:t>（三）参与拟订本市民族经济、文化、教育等专项规划。协助有关部门推动民族事业发展。配合有关部门承办重大民族文化、体育活动。协调有关部门开展少数民族古籍整理工作。</w:t>
      </w:r>
    </w:p>
    <w:p>
      <w:pPr>
        <w:ind w:firstLine="560" w:firstLineChars="200"/>
        <w:rPr>
          <w:rFonts w:ascii="仿宋" w:hAnsi="仿宋" w:eastAsia="仿宋"/>
          <w:sz w:val="28"/>
          <w:szCs w:val="28"/>
        </w:rPr>
      </w:pPr>
      <w:r>
        <w:rPr>
          <w:rFonts w:hint="eastAsia" w:ascii="仿宋" w:hAnsi="仿宋" w:eastAsia="仿宋"/>
          <w:sz w:val="28"/>
          <w:szCs w:val="28"/>
        </w:rPr>
        <w:t>（四）开展民族团结进步创建活动。依法保护少数民族公民的合法权益，协调民族关系。联系少数民族和宗教界代表人士。协调推动本市有关部门履行民族工作相关职责，建立民族事务服务体系。</w:t>
      </w:r>
    </w:p>
    <w:p>
      <w:pPr>
        <w:ind w:firstLine="560" w:firstLineChars="200"/>
        <w:rPr>
          <w:rFonts w:ascii="仿宋" w:hAnsi="仿宋" w:eastAsia="仿宋"/>
          <w:sz w:val="28"/>
          <w:szCs w:val="28"/>
        </w:rPr>
      </w:pPr>
      <w:r>
        <w:rPr>
          <w:rFonts w:hint="eastAsia" w:ascii="仿宋" w:hAnsi="仿宋" w:eastAsia="仿宋"/>
          <w:sz w:val="28"/>
          <w:szCs w:val="28"/>
        </w:rPr>
        <w:t>（五）配合有关部门推动本市民族乡村经济、清真食品行业和民族特需商品定点生产企业发展。开展民族乡村、清真食品行业经济发展状况分析研究工作。</w:t>
      </w:r>
    </w:p>
    <w:p>
      <w:pPr>
        <w:ind w:firstLine="560" w:firstLineChars="200"/>
        <w:rPr>
          <w:rFonts w:ascii="仿宋" w:hAnsi="仿宋" w:eastAsia="仿宋"/>
          <w:sz w:val="28"/>
          <w:szCs w:val="28"/>
        </w:rPr>
      </w:pPr>
      <w:r>
        <w:rPr>
          <w:rFonts w:hint="eastAsia" w:ascii="仿宋" w:hAnsi="仿宋" w:eastAsia="仿宋"/>
          <w:sz w:val="28"/>
          <w:szCs w:val="28"/>
        </w:rPr>
        <w:t>（六）依法管理本市宗教事务，保护公民宗教信仰自由和正常的宗教活动。维护宗教界合法权益。引导各宗教坚持中国化方向。发挥宗教界人士和信教群众在经济社会发展中的积极作用。</w:t>
      </w:r>
    </w:p>
    <w:p>
      <w:pPr>
        <w:ind w:firstLine="560" w:firstLineChars="200"/>
        <w:rPr>
          <w:rFonts w:ascii="仿宋" w:hAnsi="仿宋" w:eastAsia="仿宋"/>
          <w:sz w:val="28"/>
          <w:szCs w:val="28"/>
        </w:rPr>
      </w:pPr>
      <w:r>
        <w:rPr>
          <w:rFonts w:hint="eastAsia" w:ascii="仿宋" w:hAnsi="仿宋" w:eastAsia="仿宋"/>
          <w:sz w:val="28"/>
          <w:szCs w:val="28"/>
        </w:rPr>
        <w:t>（七）指导本市宗教团体依法依章开展活动，支持宗教团体加强自身建设。指导宗教团体举办宗教院校。负责宗教外事方面的有关工作。</w:t>
      </w:r>
    </w:p>
    <w:p>
      <w:pPr>
        <w:ind w:firstLine="560" w:firstLineChars="200"/>
        <w:rPr>
          <w:rFonts w:ascii="仿宋" w:hAnsi="仿宋" w:eastAsia="仿宋"/>
          <w:sz w:val="28"/>
          <w:szCs w:val="28"/>
        </w:rPr>
      </w:pPr>
      <w:r>
        <w:rPr>
          <w:rFonts w:hint="eastAsia" w:ascii="仿宋" w:hAnsi="仿宋" w:eastAsia="仿宋"/>
          <w:sz w:val="28"/>
          <w:szCs w:val="28"/>
        </w:rPr>
        <w:t>（八）负责培训民族宗教工作干部，协助有关部门承担少数民族干部培养、选拔和使用工作。配合有关部门处理涉及民族宗教方面的突发事件。</w:t>
      </w:r>
    </w:p>
    <w:p>
      <w:pPr>
        <w:ind w:firstLine="560" w:firstLineChars="200"/>
        <w:rPr>
          <w:rFonts w:ascii="仿宋" w:hAnsi="仿宋" w:eastAsia="仿宋"/>
          <w:sz w:val="28"/>
          <w:szCs w:val="28"/>
        </w:rPr>
      </w:pPr>
      <w:r>
        <w:rPr>
          <w:rFonts w:hint="eastAsia" w:ascii="仿宋" w:hAnsi="仿宋" w:eastAsia="仿宋"/>
          <w:sz w:val="28"/>
          <w:szCs w:val="28"/>
        </w:rPr>
        <w:t>（九）完成市委、市政府交办的其他任务。</w:t>
      </w:r>
    </w:p>
    <w:p>
      <w:pPr>
        <w:ind w:firstLine="560" w:firstLineChars="200"/>
        <w:rPr>
          <w:rFonts w:ascii="仿宋" w:hAnsi="仿宋" w:eastAsia="仿宋"/>
          <w:sz w:val="28"/>
          <w:szCs w:val="28"/>
        </w:rPr>
      </w:pPr>
      <w:r>
        <w:rPr>
          <w:rFonts w:hint="eastAsia" w:ascii="仿宋" w:hAnsi="仿宋" w:eastAsia="仿宋"/>
          <w:sz w:val="28"/>
          <w:szCs w:val="28"/>
          <w:lang w:eastAsia="zh-CN"/>
        </w:rPr>
        <w:t>市民族宗教委</w:t>
      </w:r>
      <w:r>
        <w:rPr>
          <w:rFonts w:ascii="仿宋" w:hAnsi="仿宋" w:eastAsia="仿宋"/>
          <w:sz w:val="28"/>
          <w:szCs w:val="28"/>
        </w:rPr>
        <w:t>行政编制为</w:t>
      </w:r>
      <w:r>
        <w:rPr>
          <w:rFonts w:hint="eastAsia" w:ascii="仿宋" w:hAnsi="仿宋" w:eastAsia="仿宋"/>
          <w:sz w:val="28"/>
          <w:szCs w:val="28"/>
          <w:lang w:val="en-US" w:eastAsia="zh-CN"/>
        </w:rPr>
        <w:t>76</w:t>
      </w:r>
      <w:r>
        <w:rPr>
          <w:rFonts w:ascii="仿宋" w:hAnsi="仿宋" w:eastAsia="仿宋"/>
          <w:sz w:val="28"/>
          <w:szCs w:val="28"/>
        </w:rPr>
        <w:t>名</w:t>
      </w:r>
      <w:r>
        <w:rPr>
          <w:rFonts w:hint="eastAsia" w:ascii="仿宋" w:hAnsi="仿宋" w:eastAsia="仿宋"/>
          <w:sz w:val="28"/>
          <w:szCs w:val="28"/>
          <w:lang w:eastAsia="zh-CN"/>
        </w:rPr>
        <w:t>，</w:t>
      </w:r>
      <w:r>
        <w:rPr>
          <w:rFonts w:hint="eastAsia" w:ascii="仿宋" w:hAnsi="仿宋" w:eastAsia="仿宋"/>
          <w:sz w:val="28"/>
          <w:szCs w:val="28"/>
          <w:lang w:val="en-US" w:eastAsia="zh-CN"/>
        </w:rPr>
        <w:t>事业单位编制101名</w:t>
      </w:r>
      <w:r>
        <w:rPr>
          <w:rFonts w:ascii="仿宋" w:hAnsi="仿宋" w:eastAsia="仿宋"/>
          <w:sz w:val="28"/>
          <w:szCs w:val="28"/>
        </w:rPr>
        <w:t>。</w:t>
      </w:r>
      <w:r>
        <w:rPr>
          <w:rFonts w:hint="eastAsia" w:ascii="仿宋" w:hAnsi="仿宋" w:eastAsia="仿宋"/>
          <w:sz w:val="28"/>
          <w:szCs w:val="28"/>
        </w:rPr>
        <w:t>内设办公室（外事办公室）、政策法规处（行政审批服务处）等</w:t>
      </w:r>
      <w:r>
        <w:rPr>
          <w:rFonts w:ascii="仿宋" w:hAnsi="仿宋" w:eastAsia="仿宋"/>
          <w:sz w:val="28"/>
          <w:szCs w:val="28"/>
        </w:rPr>
        <w:t>12个处室。所属</w:t>
      </w:r>
      <w:r>
        <w:rPr>
          <w:rFonts w:hint="eastAsia" w:ascii="仿宋" w:hAnsi="仿宋" w:eastAsia="仿宋"/>
          <w:sz w:val="28"/>
          <w:szCs w:val="28"/>
          <w:lang w:val="en-US" w:eastAsia="zh-CN"/>
        </w:rPr>
        <w:t>预算单位</w:t>
      </w:r>
      <w:r>
        <w:rPr>
          <w:rFonts w:ascii="仿宋" w:hAnsi="仿宋" w:eastAsia="仿宋"/>
          <w:sz w:val="28"/>
          <w:szCs w:val="28"/>
        </w:rPr>
        <w:t>包括北京市民族团结进步促进中心（北京市铸牢中华民族共同体意识研究中心）1个事业单位。</w:t>
      </w:r>
    </w:p>
    <w:p>
      <w:pPr>
        <w:ind w:firstLine="560" w:firstLineChars="200"/>
        <w:rPr>
          <w:rFonts w:ascii="仿宋" w:hAnsi="仿宋" w:eastAsia="仿宋"/>
          <w:sz w:val="28"/>
          <w:szCs w:val="28"/>
        </w:rPr>
      </w:pPr>
      <w:r>
        <w:rPr>
          <w:rFonts w:hint="eastAsia" w:ascii="仿宋" w:hAnsi="仿宋" w:eastAsia="仿宋"/>
          <w:sz w:val="28"/>
          <w:szCs w:val="28"/>
        </w:rPr>
        <w:t>（二）部门整体绩效目标设立情况</w:t>
      </w:r>
      <w:r>
        <w:rPr>
          <w:rFonts w:ascii="仿宋" w:hAnsi="仿宋" w:eastAsia="仿宋"/>
          <w:sz w:val="28"/>
          <w:szCs w:val="28"/>
        </w:rPr>
        <w:t xml:space="preserve"> </w:t>
      </w:r>
    </w:p>
    <w:p>
      <w:pPr>
        <w:ind w:firstLine="560" w:firstLineChars="200"/>
        <w:rPr>
          <w:rFonts w:ascii="仿宋" w:hAnsi="仿宋" w:eastAsia="仿宋"/>
          <w:sz w:val="28"/>
          <w:szCs w:val="28"/>
        </w:rPr>
      </w:pPr>
      <w:r>
        <w:rPr>
          <w:rFonts w:hint="eastAsia" w:ascii="仿宋" w:hAnsi="仿宋" w:eastAsia="仿宋"/>
          <w:sz w:val="28"/>
          <w:szCs w:val="28"/>
          <w:lang w:eastAsia="zh-CN"/>
        </w:rPr>
        <w:t>市民族宗教委</w:t>
      </w:r>
      <w:r>
        <w:rPr>
          <w:rFonts w:hint="eastAsia" w:ascii="仿宋" w:hAnsi="仿宋" w:eastAsia="仿宋"/>
          <w:sz w:val="28"/>
          <w:szCs w:val="28"/>
        </w:rPr>
        <w:t>依据</w:t>
      </w:r>
      <w:r>
        <w:rPr>
          <w:rFonts w:ascii="仿宋" w:hAnsi="仿宋" w:eastAsia="仿宋"/>
          <w:sz w:val="28"/>
          <w:szCs w:val="28"/>
        </w:rPr>
        <w:t>2022年工作任务设立绩效目标，一是贯彻落实习近平总书记关于加强和改进民族工作的重要思想、关于宗教工作的重要论述和中央民族工作会议精神、全国宗教工作会议精神，贯彻落实党中央、北京市委关于民族宗教工作的重要决策部署，进一步推进铸牢中华民族共同体意识和坚持宗教中国化方向工作。</w:t>
      </w:r>
    </w:p>
    <w:p>
      <w:pPr>
        <w:ind w:firstLine="560" w:firstLineChars="200"/>
        <w:rPr>
          <w:rFonts w:ascii="仿宋" w:hAnsi="仿宋" w:eastAsia="仿宋"/>
          <w:sz w:val="28"/>
          <w:szCs w:val="28"/>
        </w:rPr>
      </w:pPr>
      <w:r>
        <w:rPr>
          <w:rFonts w:hint="eastAsia" w:ascii="仿宋" w:hAnsi="仿宋" w:eastAsia="仿宋"/>
          <w:sz w:val="28"/>
          <w:szCs w:val="28"/>
        </w:rPr>
        <w:t>二是为进一步贯彻落实习近平总书记关于宗教工作的重要论述、中央宗教工作会议精神和党的十九届六中全会精神，落实党中央、北京市委关于宗教工作的重要决策部署，推进坚持宗教中国化方向工作，加强宗教文化研究领域的交流与合作，充分发挥宗教团体的桥梁和纽带作用，凝聚宗教界智慧力量。</w:t>
      </w:r>
    </w:p>
    <w:p>
      <w:pPr>
        <w:ind w:firstLine="560" w:firstLineChars="200"/>
        <w:rPr>
          <w:rFonts w:ascii="仿宋" w:hAnsi="仿宋" w:eastAsia="仿宋"/>
          <w:sz w:val="28"/>
          <w:szCs w:val="28"/>
        </w:rPr>
      </w:pPr>
      <w:r>
        <w:rPr>
          <w:rFonts w:hint="eastAsia" w:ascii="仿宋" w:hAnsi="仿宋" w:eastAsia="仿宋"/>
          <w:sz w:val="28"/>
          <w:szCs w:val="28"/>
        </w:rPr>
        <w:t>三是维护首都民族团结宗教和睦和社会稳定。通过党组理论学习中心组（扩大）学习，宣传贯彻习近平新时代中国特色社会主义思想、党的十九届六中全会、党的二十大精神，贯彻落实中央民族工作会议、全国宗教工作会议精神，提高领导干部和系统党员干部的理论水平和工作能力。</w:t>
      </w:r>
    </w:p>
    <w:p>
      <w:pPr>
        <w:ind w:firstLine="560" w:firstLineChars="200"/>
        <w:rPr>
          <w:rFonts w:ascii="仿宋" w:hAnsi="仿宋" w:eastAsia="仿宋"/>
          <w:sz w:val="28"/>
          <w:szCs w:val="28"/>
        </w:rPr>
      </w:pPr>
      <w:r>
        <w:rPr>
          <w:rFonts w:hint="eastAsia" w:ascii="仿宋" w:hAnsi="仿宋" w:eastAsia="仿宋"/>
          <w:sz w:val="28"/>
          <w:szCs w:val="28"/>
        </w:rPr>
        <w:t>四是围绕“铸牢中华民族共同体意识”开展主题宣传，树立北京典型，组织主题活动，不断加强中华民族共同体建设，推动中华民族共同体意识入脑入心。围绕首都民族宗教工作开展宣传，总结推广北京市在贯彻落实习近平总书记关于加强和改进民族工作的重要思想、总书记关于宗教工作的重要论述暨中央民族工作会议精神、全国宗教工作会议精神等方面的经验和阶段性工作成果。</w:t>
      </w:r>
    </w:p>
    <w:p>
      <w:pPr>
        <w:rPr>
          <w:rFonts w:ascii="仿宋" w:hAnsi="仿宋" w:eastAsia="仿宋"/>
          <w:sz w:val="28"/>
          <w:szCs w:val="28"/>
        </w:rPr>
      </w:pPr>
      <w:r>
        <w:rPr>
          <w:rFonts w:hint="eastAsia" w:ascii="仿宋" w:hAnsi="仿宋" w:eastAsia="仿宋"/>
          <w:sz w:val="28"/>
          <w:szCs w:val="28"/>
        </w:rPr>
        <w:t>　　（二）当年预算执行情况</w:t>
      </w:r>
    </w:p>
    <w:p>
      <w:pPr>
        <w:ind w:firstLine="555"/>
        <w:rPr>
          <w:rFonts w:ascii="仿宋" w:hAnsi="仿宋" w:eastAsia="仿宋"/>
          <w:sz w:val="28"/>
          <w:szCs w:val="28"/>
        </w:rPr>
      </w:pPr>
      <w:r>
        <w:rPr>
          <w:rFonts w:ascii="仿宋" w:hAnsi="仿宋" w:eastAsia="仿宋"/>
          <w:sz w:val="28"/>
          <w:szCs w:val="28"/>
        </w:rPr>
        <w:t>2022年预算数</w:t>
      </w:r>
      <w:r>
        <w:rPr>
          <w:rFonts w:hint="eastAsia" w:ascii="仿宋" w:hAnsi="仿宋" w:eastAsia="仿宋"/>
          <w:sz w:val="28"/>
          <w:szCs w:val="28"/>
        </w:rPr>
        <w:t>9,091.21万</w:t>
      </w:r>
      <w:r>
        <w:rPr>
          <w:rFonts w:ascii="仿宋" w:hAnsi="仿宋" w:eastAsia="仿宋"/>
          <w:sz w:val="28"/>
          <w:szCs w:val="28"/>
        </w:rPr>
        <w:t>元，</w:t>
      </w:r>
      <w:r>
        <w:rPr>
          <w:rFonts w:hint="eastAsia" w:ascii="仿宋" w:hAnsi="仿宋" w:eastAsia="仿宋"/>
          <w:sz w:val="28"/>
          <w:szCs w:val="28"/>
        </w:rPr>
        <w:t>实际</w:t>
      </w:r>
      <w:r>
        <w:rPr>
          <w:rFonts w:ascii="仿宋" w:hAnsi="仿宋" w:eastAsia="仿宋"/>
          <w:sz w:val="28"/>
          <w:szCs w:val="28"/>
        </w:rPr>
        <w:t>支出数8,535.56</w:t>
      </w:r>
      <w:r>
        <w:rPr>
          <w:rFonts w:hint="eastAsia" w:ascii="仿宋" w:hAnsi="仿宋" w:eastAsia="仿宋"/>
          <w:sz w:val="28"/>
          <w:szCs w:val="28"/>
        </w:rPr>
        <w:t>万</w:t>
      </w:r>
      <w:r>
        <w:rPr>
          <w:rFonts w:ascii="仿宋" w:hAnsi="仿宋" w:eastAsia="仿宋"/>
          <w:sz w:val="28"/>
          <w:szCs w:val="28"/>
        </w:rPr>
        <w:t>元，预算执行率为103</w:t>
      </w:r>
      <w:r>
        <w:rPr>
          <w:rFonts w:hint="eastAsia" w:ascii="仿宋" w:hAnsi="仿宋" w:eastAsia="仿宋"/>
          <w:sz w:val="28"/>
          <w:szCs w:val="28"/>
        </w:rPr>
        <w:t>.</w:t>
      </w:r>
      <w:r>
        <w:rPr>
          <w:rFonts w:ascii="仿宋" w:hAnsi="仿宋" w:eastAsia="仿宋"/>
          <w:sz w:val="28"/>
          <w:szCs w:val="28"/>
        </w:rPr>
        <w:t>14%</w:t>
      </w:r>
      <w:r>
        <w:rPr>
          <w:rFonts w:hint="eastAsia" w:ascii="仿宋" w:hAnsi="仿宋" w:eastAsia="仿宋"/>
          <w:sz w:val="28"/>
          <w:szCs w:val="28"/>
        </w:rPr>
        <w:t>。</w:t>
      </w:r>
    </w:p>
    <w:p>
      <w:pPr>
        <w:rPr>
          <w:rFonts w:ascii="仿宋" w:hAnsi="仿宋" w:eastAsia="仿宋"/>
          <w:sz w:val="28"/>
          <w:szCs w:val="28"/>
        </w:rPr>
      </w:pPr>
      <w:r>
        <w:rPr>
          <w:rFonts w:hint="eastAsia" w:ascii="仿宋" w:hAnsi="仿宋" w:eastAsia="仿宋"/>
          <w:sz w:val="28"/>
          <w:szCs w:val="28"/>
        </w:rPr>
        <w:t>　　（三）整体绩效目标实现情况</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1.产出完成情况分析</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1）产出数量</w:t>
      </w:r>
    </w:p>
    <w:p>
      <w:pPr>
        <w:rPr>
          <w:rFonts w:ascii="仿宋" w:hAnsi="仿宋" w:eastAsia="仿宋"/>
          <w:color w:val="FF0000"/>
          <w:sz w:val="28"/>
          <w:szCs w:val="28"/>
        </w:rPr>
      </w:pPr>
      <w:r>
        <w:rPr>
          <w:rFonts w:hint="eastAsia" w:ascii="仿宋" w:hAnsi="仿宋" w:eastAsia="仿宋"/>
          <w:sz w:val="28"/>
          <w:szCs w:val="28"/>
        </w:rPr>
        <w:t>　　年初预算项目数</w:t>
      </w:r>
      <w:r>
        <w:rPr>
          <w:rFonts w:hint="eastAsia" w:ascii="仿宋" w:hAnsi="仿宋" w:eastAsia="仿宋"/>
          <w:sz w:val="28"/>
          <w:szCs w:val="28"/>
          <w:lang w:val="en-US" w:eastAsia="zh-CN"/>
        </w:rPr>
        <w:t>10个</w:t>
      </w:r>
      <w:r>
        <w:rPr>
          <w:rFonts w:ascii="仿宋" w:hAnsi="仿宋" w:eastAsia="仿宋"/>
          <w:color w:val="000000" w:themeColor="text1"/>
          <w:sz w:val="28"/>
          <w:szCs w:val="28"/>
          <w14:textFill>
            <w14:solidFill>
              <w14:schemeClr w14:val="tx1"/>
            </w14:solidFill>
          </w14:textFill>
        </w:rPr>
        <w:t>，根据工作实际开展情况进行调整，年末项目完成数</w:t>
      </w:r>
      <w:r>
        <w:rPr>
          <w:rFonts w:hint="eastAsia" w:ascii="仿宋" w:hAnsi="仿宋" w:eastAsia="仿宋"/>
          <w:color w:val="000000" w:themeColor="text1"/>
          <w:sz w:val="28"/>
          <w:szCs w:val="28"/>
          <w:lang w:val="en-US" w:eastAsia="zh-CN"/>
          <w14:textFill>
            <w14:solidFill>
              <w14:schemeClr w14:val="tx1"/>
            </w14:solidFill>
          </w14:textFill>
        </w:rPr>
        <w:t>13个</w:t>
      </w:r>
      <w:r>
        <w:rPr>
          <w:rFonts w:ascii="仿宋" w:hAnsi="仿宋" w:eastAsia="仿宋"/>
          <w:color w:val="000000" w:themeColor="text1"/>
          <w:sz w:val="28"/>
          <w:szCs w:val="28"/>
          <w14:textFill>
            <w14:solidFill>
              <w14:schemeClr w14:val="tx1"/>
            </w14:solidFill>
          </w14:textFill>
        </w:rPr>
        <w:t>。</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2）产出质量</w:t>
      </w:r>
    </w:p>
    <w:p>
      <w:pPr>
        <w:rPr>
          <w:rFonts w:ascii="仿宋" w:hAnsi="仿宋" w:eastAsia="仿宋"/>
          <w:sz w:val="28"/>
          <w:szCs w:val="28"/>
        </w:rPr>
      </w:pPr>
      <w:r>
        <w:rPr>
          <w:rFonts w:hint="eastAsia" w:ascii="仿宋" w:hAnsi="仿宋" w:eastAsia="仿宋"/>
          <w:sz w:val="28"/>
          <w:szCs w:val="28"/>
        </w:rPr>
        <w:t>　　根据全年重点工作任务安排，紧扣“迎接和贯彻党的二十大”工作主线，团结奋斗的共同思想政治基础不断夯实。召开全市民族宗教工作会，举办民族宗教界代表人士座谈会，开展新时代党的民族宗教理论政策学习培训，委领导带头赴党校（行政学院）、机关等开展宣讲</w:t>
      </w:r>
      <w:r>
        <w:rPr>
          <w:rFonts w:ascii="仿宋" w:hAnsi="仿宋" w:eastAsia="仿宋"/>
          <w:sz w:val="28"/>
          <w:szCs w:val="28"/>
        </w:rPr>
        <w:t xml:space="preserve"> 20余次。出色完成北京冬奥会和冬残奥会服务保障工作，被党中央、国务院授予“北京冬奥会、冬残奥会突出贡献集体”称号。广泛开展“喜迎二十大、奋进新时代”主题教育活动，组织收看大会盛况，抓好动员部署、集中宣讲、座谈交流、专题培训等环节，迅速掀起学习宣传党的二十大精神的热潮。</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3）产出进度</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2022年预算执行率</w:t>
      </w:r>
      <w:r>
        <w:rPr>
          <w:rFonts w:hint="eastAsia" w:ascii="仿宋" w:hAnsi="仿宋" w:eastAsia="仿宋"/>
          <w:sz w:val="28"/>
          <w:szCs w:val="28"/>
          <w:lang w:val="en-US" w:eastAsia="zh-CN"/>
        </w:rPr>
        <w:t>93.89</w:t>
      </w:r>
      <w:r>
        <w:rPr>
          <w:rFonts w:ascii="仿宋" w:hAnsi="仿宋" w:eastAsia="仿宋"/>
          <w:sz w:val="28"/>
          <w:szCs w:val="28"/>
        </w:rPr>
        <w:t>%。</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4）产出成本</w:t>
      </w:r>
    </w:p>
    <w:p>
      <w:pPr>
        <w:ind w:firstLine="555"/>
        <w:rPr>
          <w:rFonts w:ascii="仿宋" w:hAnsi="仿宋" w:eastAsia="仿宋"/>
          <w:sz w:val="28"/>
          <w:szCs w:val="28"/>
        </w:rPr>
      </w:pPr>
      <w:r>
        <w:rPr>
          <w:rFonts w:hint="eastAsia" w:ascii="仿宋" w:hAnsi="仿宋" w:eastAsia="仿宋"/>
          <w:sz w:val="28"/>
          <w:szCs w:val="28"/>
        </w:rPr>
        <w:t>部门预算数9,091.21万</w:t>
      </w:r>
      <w:r>
        <w:rPr>
          <w:rFonts w:ascii="仿宋" w:hAnsi="仿宋" w:eastAsia="仿宋"/>
          <w:sz w:val="28"/>
          <w:szCs w:val="28"/>
        </w:rPr>
        <w:t>元，根据工作实际情况调整，实际执行数8,535.56</w:t>
      </w:r>
      <w:r>
        <w:rPr>
          <w:rFonts w:hint="eastAsia" w:ascii="仿宋" w:hAnsi="仿宋" w:eastAsia="仿宋"/>
          <w:sz w:val="28"/>
          <w:szCs w:val="28"/>
        </w:rPr>
        <w:t>万</w:t>
      </w:r>
      <w:r>
        <w:rPr>
          <w:rFonts w:ascii="仿宋" w:hAnsi="仿宋" w:eastAsia="仿宋"/>
          <w:sz w:val="28"/>
          <w:szCs w:val="28"/>
        </w:rPr>
        <w:t>元</w:t>
      </w:r>
      <w:r>
        <w:rPr>
          <w:rFonts w:hint="eastAsia" w:ascii="仿宋" w:hAnsi="仿宋" w:eastAsia="仿宋"/>
          <w:sz w:val="28"/>
          <w:szCs w:val="28"/>
        </w:rPr>
        <w:t>。</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2.效果实现情况分析</w:t>
      </w:r>
    </w:p>
    <w:p>
      <w:pPr>
        <w:rPr>
          <w:rFonts w:ascii="仿宋" w:hAnsi="仿宋" w:eastAsia="仿宋"/>
          <w:sz w:val="28"/>
          <w:szCs w:val="28"/>
        </w:rPr>
      </w:pPr>
      <w:r>
        <w:rPr>
          <w:rFonts w:hint="eastAsia" w:ascii="仿宋" w:hAnsi="仿宋" w:eastAsia="仿宋"/>
          <w:sz w:val="28"/>
          <w:szCs w:val="28"/>
        </w:rPr>
        <w:t>　　一是民族团结进步创建得到深入开展，进一步铸牢中华民族共同体意识。二是推进民族乡村振兴，民族地区发展不断加快。三是宗教团体自身能力建设不断加强，宗教事务治理体系和治理能力现代化明显提升。四是民族宗教工作法治化、制度化水平进一步提升，各项改革落地落实。五是常态化疫情防控工作常抓不懈，全力实现民族宗教领域“零感染”。六是坚守安全底线，全力维护民族宗教领域和谐稳定。七是坚持全面从严治党，首都民族宗教工作再上新台阶。</w:t>
      </w:r>
    </w:p>
    <w:p>
      <w:pPr>
        <w:rPr>
          <w:rFonts w:ascii="仿宋" w:hAnsi="仿宋" w:eastAsia="仿宋"/>
          <w:sz w:val="28"/>
          <w:szCs w:val="28"/>
        </w:rPr>
      </w:pPr>
      <w:r>
        <w:rPr>
          <w:rFonts w:hint="eastAsia" w:ascii="仿宋" w:hAnsi="仿宋" w:eastAsia="仿宋"/>
          <w:sz w:val="28"/>
          <w:szCs w:val="28"/>
        </w:rPr>
        <w:t>　　（四）预算管理情况分析</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1.财务管理</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1）财务管理制度健全性</w:t>
      </w:r>
    </w:p>
    <w:p>
      <w:pPr>
        <w:rPr>
          <w:rFonts w:ascii="仿宋" w:hAnsi="仿宋" w:eastAsia="仿宋"/>
          <w:sz w:val="28"/>
          <w:szCs w:val="28"/>
        </w:rPr>
      </w:pPr>
      <w:r>
        <w:rPr>
          <w:rFonts w:hint="eastAsia" w:ascii="仿宋" w:hAnsi="仿宋" w:eastAsia="仿宋"/>
          <w:sz w:val="28"/>
          <w:szCs w:val="28"/>
        </w:rPr>
        <w:t>　　一是加强制度建设，完善内部管理。认真贯彻中央八项规定精神，严格落实《党政机关厉行节约反对浪费条例》，领导干部主动率先垂范，工作机制不断建立健全，建立单位内部控制体系。二是加强财务管理，规范财务行为。严格执行《北京市民族宗教事务委员会预算管理办法》等预算资金管理、绩效管理、资产管理等一系列制度。三是通过制度约束规范资金支出，强化资金管理，不断提升资金使用效率和资金使用的公开透明性，保障部门职能履行与预算执行。</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2）资金使用合规性和安全性</w:t>
      </w:r>
    </w:p>
    <w:p>
      <w:pPr>
        <w:rPr>
          <w:rFonts w:ascii="仿宋" w:hAnsi="仿宋" w:eastAsia="仿宋"/>
          <w:sz w:val="28"/>
          <w:szCs w:val="28"/>
        </w:rPr>
      </w:pPr>
      <w:r>
        <w:rPr>
          <w:rFonts w:hint="eastAsia" w:ascii="仿宋" w:hAnsi="仿宋" w:eastAsia="仿宋"/>
          <w:sz w:val="28"/>
          <w:szCs w:val="28"/>
        </w:rPr>
        <w:t>　　严格落实党中央国务院关于政府过“紧日子”的要求，从严控制“三公”经费预算，加强相关经费执行管理。深化“零基预算”理念</w:t>
      </w:r>
      <w:r>
        <w:rPr>
          <w:rFonts w:ascii="仿宋" w:hAnsi="仿宋" w:eastAsia="仿宋"/>
          <w:sz w:val="28"/>
          <w:szCs w:val="28"/>
        </w:rPr>
        <w:t>,编实编细部门预算，把预算管理作为过紧日子的重要抓手，做到从严从紧、有保有压。在预算编制执行、政府采购、资产配置等日常工作中，挖掘节支潜力，建立厉行节约长效机制。</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3）会计基础信息完善性</w:t>
      </w:r>
    </w:p>
    <w:p>
      <w:pPr>
        <w:rPr>
          <w:rFonts w:ascii="仿宋" w:hAnsi="仿宋" w:eastAsia="仿宋"/>
          <w:sz w:val="28"/>
          <w:szCs w:val="28"/>
        </w:rPr>
      </w:pPr>
      <w:r>
        <w:rPr>
          <w:rFonts w:hint="eastAsia" w:ascii="仿宋" w:hAnsi="仿宋" w:eastAsia="仿宋"/>
          <w:sz w:val="28"/>
          <w:szCs w:val="28"/>
        </w:rPr>
        <w:t>　　财会管理制度健全，加强会计机构建设，提高会计人员业务水平，强化会计人员岗位责任制，规范会计基础工作。</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2.资产管理</w:t>
      </w:r>
    </w:p>
    <w:p>
      <w:pPr>
        <w:rPr>
          <w:rFonts w:ascii="仿宋" w:hAnsi="仿宋" w:eastAsia="仿宋"/>
          <w:sz w:val="28"/>
          <w:szCs w:val="28"/>
        </w:rPr>
      </w:pPr>
      <w:r>
        <w:rPr>
          <w:rFonts w:hint="eastAsia" w:ascii="仿宋" w:hAnsi="仿宋" w:eastAsia="仿宋"/>
          <w:sz w:val="28"/>
          <w:szCs w:val="28"/>
        </w:rPr>
        <w:t>　　市民族宗教委固定资产配置严格按照《北京市市级行政事业单位日常办公设备配置标准》等相关标准执行，从严控制办公设备配置。建立健全资产管理机制，对固定资产定期进行全面清查盘点，检查固定资产的保管、使用、维护情况，核对固定资产实有数量与账面数量，确保资产保存完整、配置合理、账实相符。</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3.绩效管理</w:t>
      </w:r>
    </w:p>
    <w:p>
      <w:pPr>
        <w:rPr>
          <w:rFonts w:ascii="仿宋" w:hAnsi="仿宋" w:eastAsia="仿宋"/>
          <w:sz w:val="28"/>
          <w:szCs w:val="28"/>
        </w:rPr>
      </w:pPr>
      <w:r>
        <w:rPr>
          <w:rFonts w:hint="eastAsia" w:ascii="仿宋" w:hAnsi="仿宋" w:eastAsia="仿宋"/>
          <w:sz w:val="28"/>
          <w:szCs w:val="28"/>
        </w:rPr>
        <w:t>　　为提高财政资金使用效益，进一步加强财政预算绩效管理，</w:t>
      </w:r>
      <w:r>
        <w:rPr>
          <w:rFonts w:ascii="仿宋" w:hAnsi="仿宋" w:eastAsia="仿宋"/>
          <w:sz w:val="28"/>
          <w:szCs w:val="28"/>
        </w:rPr>
        <w:t>2022年市民族宗教委</w:t>
      </w:r>
      <w:r>
        <w:rPr>
          <w:rFonts w:hint="eastAsia" w:ascii="仿宋" w:hAnsi="仿宋" w:eastAsia="仿宋"/>
          <w:sz w:val="28"/>
          <w:szCs w:val="28"/>
        </w:rPr>
        <w:t>严格执行</w:t>
      </w:r>
      <w:r>
        <w:rPr>
          <w:rFonts w:ascii="仿宋" w:hAnsi="仿宋" w:eastAsia="仿宋"/>
          <w:sz w:val="28"/>
          <w:szCs w:val="28"/>
        </w:rPr>
        <w:t>《北京市民族宗教事务委员会预算绩效管理实施办法》，</w:t>
      </w:r>
      <w:r>
        <w:rPr>
          <w:rFonts w:hint="eastAsia" w:ascii="仿宋" w:hAnsi="仿宋" w:eastAsia="仿宋"/>
          <w:sz w:val="28"/>
          <w:szCs w:val="28"/>
        </w:rPr>
        <w:t>由各</w:t>
      </w:r>
      <w:r>
        <w:rPr>
          <w:rFonts w:hint="eastAsia" w:ascii="仿宋" w:hAnsi="仿宋" w:eastAsia="仿宋"/>
          <w:sz w:val="28"/>
          <w:szCs w:val="28"/>
          <w:lang w:val="en-US" w:eastAsia="zh-CN"/>
        </w:rPr>
        <w:t>预算处室和所属单位</w:t>
      </w:r>
      <w:r>
        <w:rPr>
          <w:rFonts w:hint="eastAsia" w:ascii="仿宋" w:hAnsi="仿宋" w:eastAsia="仿宋"/>
          <w:sz w:val="28"/>
          <w:szCs w:val="28"/>
        </w:rPr>
        <w:t>主要领导负责，对</w:t>
      </w:r>
      <w:r>
        <w:rPr>
          <w:rFonts w:ascii="仿宋" w:hAnsi="仿宋" w:eastAsia="仿宋"/>
          <w:sz w:val="28"/>
          <w:szCs w:val="28"/>
        </w:rPr>
        <w:t>部门预算绩效目标设定全覆盖，对预算项目实行全流程绩效管理。</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4.结转结余率</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2022年度部门年末结转结余率为</w:t>
      </w: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lang w:val="en-US" w:eastAsia="zh-CN"/>
        </w:rPr>
        <w:t>11</w:t>
      </w:r>
      <w:r>
        <w:rPr>
          <w:rFonts w:ascii="仿宋" w:hAnsi="仿宋" w:eastAsia="仿宋"/>
          <w:sz w:val="28"/>
          <w:szCs w:val="28"/>
        </w:rPr>
        <w:t>%</w:t>
      </w:r>
      <w:r>
        <w:rPr>
          <w:rFonts w:hint="eastAsia" w:ascii="仿宋" w:hAnsi="仿宋" w:eastAsia="仿宋"/>
          <w:sz w:val="28"/>
          <w:szCs w:val="28"/>
        </w:rPr>
        <w:t>。</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5.部门预决算差异率</w:t>
      </w:r>
    </w:p>
    <w:p>
      <w:pPr>
        <w:ind w:firstLine="555"/>
        <w:rPr>
          <w:rFonts w:ascii="仿宋" w:hAnsi="仿宋" w:eastAsia="仿宋"/>
          <w:sz w:val="28"/>
          <w:szCs w:val="28"/>
        </w:rPr>
      </w:pPr>
      <w:r>
        <w:rPr>
          <w:rFonts w:ascii="仿宋" w:hAnsi="仿宋" w:eastAsia="仿宋"/>
          <w:sz w:val="28"/>
          <w:szCs w:val="28"/>
        </w:rPr>
        <w:t>2022年部门年初预算数8,222.23</w:t>
      </w:r>
      <w:r>
        <w:rPr>
          <w:rFonts w:hint="eastAsia" w:ascii="仿宋" w:hAnsi="仿宋" w:eastAsia="仿宋"/>
          <w:sz w:val="28"/>
          <w:szCs w:val="28"/>
        </w:rPr>
        <w:t>万</w:t>
      </w:r>
      <w:r>
        <w:rPr>
          <w:rFonts w:ascii="仿宋" w:hAnsi="仿宋" w:eastAsia="仿宋"/>
          <w:sz w:val="28"/>
          <w:szCs w:val="28"/>
        </w:rPr>
        <w:t>元，2022年决算支出数8,535.56</w:t>
      </w:r>
      <w:r>
        <w:rPr>
          <w:rFonts w:hint="eastAsia" w:ascii="仿宋" w:hAnsi="仿宋" w:eastAsia="仿宋"/>
          <w:sz w:val="28"/>
          <w:szCs w:val="28"/>
        </w:rPr>
        <w:t>万</w:t>
      </w:r>
      <w:r>
        <w:rPr>
          <w:rFonts w:ascii="仿宋" w:hAnsi="仿宋" w:eastAsia="仿宋"/>
          <w:sz w:val="28"/>
          <w:szCs w:val="28"/>
        </w:rPr>
        <w:t>元，2022年部门预决算差异率</w:t>
      </w:r>
      <w:r>
        <w:rPr>
          <w:rFonts w:hint="eastAsia" w:ascii="仿宋" w:hAnsi="仿宋" w:eastAsia="仿宋"/>
          <w:sz w:val="28"/>
          <w:szCs w:val="28"/>
        </w:rPr>
        <w:t>3</w:t>
      </w:r>
      <w:r>
        <w:rPr>
          <w:rFonts w:ascii="仿宋" w:hAnsi="仿宋" w:eastAsia="仿宋"/>
          <w:sz w:val="28"/>
          <w:szCs w:val="28"/>
        </w:rPr>
        <w:t>.81%</w:t>
      </w:r>
      <w:r>
        <w:rPr>
          <w:rFonts w:hint="eastAsia" w:ascii="仿宋" w:hAnsi="仿宋" w:eastAsia="仿宋"/>
          <w:sz w:val="28"/>
          <w:szCs w:val="28"/>
        </w:rPr>
        <w:t>。</w:t>
      </w:r>
    </w:p>
    <w:p>
      <w:pPr>
        <w:rPr>
          <w:rFonts w:ascii="仿宋" w:hAnsi="仿宋" w:eastAsia="仿宋"/>
          <w:sz w:val="28"/>
          <w:szCs w:val="28"/>
        </w:rPr>
      </w:pPr>
      <w:r>
        <w:rPr>
          <w:rFonts w:hint="eastAsia" w:ascii="仿宋" w:hAnsi="仿宋" w:eastAsia="仿宋"/>
          <w:sz w:val="28"/>
          <w:szCs w:val="28"/>
        </w:rPr>
        <w:t>　　（五）总体评价结论</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1.评价得分情况</w:t>
      </w:r>
    </w:p>
    <w:p>
      <w:pPr>
        <w:ind w:firstLine="570"/>
        <w:rPr>
          <w:rFonts w:ascii="仿宋" w:hAnsi="仿宋" w:eastAsia="仿宋"/>
          <w:sz w:val="28"/>
          <w:szCs w:val="28"/>
        </w:rPr>
      </w:pPr>
      <w:r>
        <w:rPr>
          <w:rFonts w:hint="eastAsia" w:ascii="仿宋" w:hAnsi="仿宋" w:eastAsia="仿宋"/>
          <w:sz w:val="28"/>
          <w:szCs w:val="28"/>
        </w:rPr>
        <w:t>按照</w:t>
      </w:r>
      <w:r>
        <w:rPr>
          <w:rFonts w:ascii="仿宋" w:hAnsi="仿宋" w:eastAsia="仿宋"/>
          <w:sz w:val="28"/>
          <w:szCs w:val="28"/>
        </w:rPr>
        <w:t>2022年部门整体绩效评价指标体系评分表，绩效评分为9</w:t>
      </w:r>
      <w:r>
        <w:rPr>
          <w:rFonts w:hint="eastAsia" w:ascii="仿宋" w:hAnsi="仿宋" w:eastAsia="仿宋"/>
          <w:sz w:val="28"/>
          <w:szCs w:val="28"/>
          <w:lang w:val="en-US" w:eastAsia="zh-CN"/>
        </w:rPr>
        <w:t>1.63</w:t>
      </w:r>
      <w:r>
        <w:rPr>
          <w:rFonts w:ascii="仿宋" w:hAnsi="仿宋" w:eastAsia="仿宋"/>
          <w:sz w:val="28"/>
          <w:szCs w:val="28"/>
        </w:rPr>
        <w:t>分，其中当年预算执行情况为</w:t>
      </w:r>
      <w:r>
        <w:rPr>
          <w:rFonts w:hint="eastAsia" w:ascii="仿宋" w:hAnsi="仿宋" w:eastAsia="仿宋"/>
          <w:sz w:val="28"/>
          <w:szCs w:val="28"/>
          <w:lang w:val="en-US" w:eastAsia="zh-CN"/>
        </w:rPr>
        <w:t>19</w:t>
      </w:r>
      <w:r>
        <w:rPr>
          <w:rFonts w:ascii="仿宋" w:hAnsi="仿宋" w:eastAsia="仿宋"/>
          <w:sz w:val="28"/>
          <w:szCs w:val="28"/>
        </w:rPr>
        <w:t>分，整体绩效目标实现情况为5</w:t>
      </w:r>
      <w:r>
        <w:rPr>
          <w:rFonts w:hint="eastAsia" w:ascii="仿宋" w:hAnsi="仿宋" w:eastAsia="仿宋"/>
          <w:sz w:val="28"/>
          <w:szCs w:val="28"/>
          <w:lang w:val="en-US" w:eastAsia="zh-CN"/>
        </w:rPr>
        <w:t>4</w:t>
      </w:r>
      <w:r>
        <w:rPr>
          <w:rFonts w:ascii="仿宋" w:hAnsi="仿宋" w:eastAsia="仿宋"/>
          <w:sz w:val="28"/>
          <w:szCs w:val="28"/>
        </w:rPr>
        <w:t>分，预算管理情况为</w:t>
      </w:r>
      <w:r>
        <w:rPr>
          <w:rFonts w:hint="eastAsia" w:ascii="仿宋" w:hAnsi="仿宋" w:eastAsia="仿宋"/>
          <w:sz w:val="28"/>
          <w:szCs w:val="28"/>
          <w:lang w:val="en-US" w:eastAsia="zh-CN"/>
        </w:rPr>
        <w:t>18.63</w:t>
      </w:r>
      <w:r>
        <w:rPr>
          <w:rFonts w:ascii="仿宋" w:hAnsi="仿宋" w:eastAsia="仿宋"/>
          <w:sz w:val="28"/>
          <w:szCs w:val="28"/>
        </w:rPr>
        <w:t>分。</w:t>
      </w:r>
    </w:p>
    <w:p>
      <w:pPr>
        <w:rPr>
          <w:rFonts w:ascii="仿宋" w:hAnsi="仿宋" w:eastAsia="仿宋"/>
          <w:sz w:val="28"/>
          <w:szCs w:val="28"/>
        </w:rPr>
      </w:pPr>
      <w:r>
        <w:rPr>
          <w:rFonts w:hint="eastAsia" w:ascii="仿宋" w:hAnsi="仿宋" w:eastAsia="仿宋"/>
          <w:sz w:val="28"/>
          <w:szCs w:val="28"/>
        </w:rPr>
        <w:t>　　</w:t>
      </w:r>
      <w:r>
        <w:rPr>
          <w:rFonts w:ascii="仿宋" w:hAnsi="仿宋" w:eastAsia="仿宋"/>
          <w:sz w:val="28"/>
          <w:szCs w:val="28"/>
        </w:rPr>
        <w:t>2.存在的问题及原因分析</w:t>
      </w:r>
    </w:p>
    <w:p>
      <w:pPr>
        <w:rPr>
          <w:rFonts w:ascii="仿宋" w:hAnsi="仿宋" w:eastAsia="仿宋"/>
          <w:sz w:val="28"/>
          <w:szCs w:val="28"/>
        </w:rPr>
      </w:pPr>
      <w:r>
        <w:rPr>
          <w:rFonts w:hint="eastAsia" w:ascii="仿宋" w:hAnsi="仿宋" w:eastAsia="仿宋"/>
          <w:sz w:val="28"/>
          <w:szCs w:val="28"/>
        </w:rPr>
        <w:t>　　预算绩效工作队伍力量有待充实，各个部门要进一步提升预算绩效意识。</w:t>
      </w:r>
    </w:p>
    <w:p>
      <w:pPr>
        <w:rPr>
          <w:rFonts w:ascii="仿宋" w:hAnsi="仿宋" w:eastAsia="仿宋"/>
          <w:sz w:val="28"/>
          <w:szCs w:val="28"/>
        </w:rPr>
      </w:pPr>
      <w:r>
        <w:rPr>
          <w:rFonts w:hint="eastAsia" w:ascii="仿宋" w:hAnsi="仿宋" w:eastAsia="仿宋"/>
          <w:sz w:val="28"/>
          <w:szCs w:val="28"/>
        </w:rPr>
        <w:t>　　（六）措施建议</w:t>
      </w:r>
    </w:p>
    <w:p>
      <w:pPr>
        <w:rPr>
          <w:rFonts w:ascii="仿宋" w:hAnsi="仿宋" w:eastAsia="仿宋"/>
          <w:sz w:val="28"/>
          <w:szCs w:val="28"/>
        </w:rPr>
      </w:pPr>
      <w:r>
        <w:rPr>
          <w:rFonts w:hint="eastAsia" w:ascii="仿宋" w:hAnsi="仿宋" w:eastAsia="仿宋"/>
          <w:sz w:val="28"/>
          <w:szCs w:val="28"/>
        </w:rPr>
        <w:t>　　不断加强预算绩效工作，提升项目精细化管理水平。</w:t>
      </w:r>
    </w:p>
    <w:p>
      <w:pPr>
        <w:rPr>
          <w:rFonts w:ascii="仿宋" w:hAnsi="仿宋" w:eastAsia="仿宋"/>
          <w:sz w:val="28"/>
          <w:szCs w:val="28"/>
        </w:rPr>
      </w:pPr>
      <w:r>
        <w:rPr>
          <w:rFonts w:hint="eastAsia" w:ascii="仿宋" w:hAnsi="仿宋" w:eastAsia="仿宋"/>
          <w:sz w:val="28"/>
          <w:szCs w:val="28"/>
        </w:rPr>
        <w:t>　　二、项目支出绩效评价报告</w:t>
      </w:r>
    </w:p>
    <w:p>
      <w:pPr>
        <w:rPr>
          <w:rFonts w:ascii="仿宋" w:hAnsi="仿宋" w:eastAsia="仿宋"/>
          <w:sz w:val="28"/>
          <w:szCs w:val="28"/>
        </w:rPr>
      </w:pPr>
      <w:r>
        <w:rPr>
          <w:rFonts w:hint="eastAsia" w:ascii="仿宋" w:hAnsi="仿宋" w:eastAsia="仿宋"/>
          <w:sz w:val="28"/>
          <w:szCs w:val="28"/>
        </w:rPr>
        <w:t>　　详见附件。</w:t>
      </w:r>
    </w:p>
    <w:p>
      <w:pPr>
        <w:rPr>
          <w:rFonts w:ascii="仿宋" w:hAnsi="仿宋" w:eastAsia="仿宋"/>
          <w:sz w:val="28"/>
          <w:szCs w:val="28"/>
        </w:rPr>
      </w:pPr>
      <w:r>
        <w:rPr>
          <w:rFonts w:hint="eastAsia" w:ascii="仿宋" w:hAnsi="仿宋" w:eastAsia="仿宋"/>
          <w:sz w:val="28"/>
          <w:szCs w:val="28"/>
        </w:rPr>
        <w:t>　　三、项目支出绩效自评表</w:t>
      </w:r>
    </w:p>
    <w:p>
      <w:pPr>
        <w:rPr>
          <w:rFonts w:ascii="仿宋" w:hAnsi="仿宋" w:eastAsia="仿宋"/>
          <w:sz w:val="28"/>
          <w:szCs w:val="28"/>
          <w:highlight w:val="cyan"/>
        </w:rPr>
      </w:pPr>
      <w:r>
        <w:rPr>
          <w:rFonts w:hint="eastAsia" w:ascii="仿宋" w:hAnsi="仿宋" w:eastAsia="仿宋"/>
          <w:sz w:val="28"/>
          <w:szCs w:val="28"/>
        </w:rPr>
        <w:t>　　详见附件。</w:t>
      </w:r>
    </w:p>
    <w:p>
      <w:pPr>
        <w:rPr>
          <w:rFonts w:ascii="仿宋" w:hAnsi="仿宋" w:eastAsia="仿宋"/>
          <w:sz w:val="28"/>
          <w:szCs w:val="28"/>
        </w:rPr>
      </w:pPr>
      <w:r>
        <w:rPr>
          <w:rFonts w:hint="eastAsia" w:ascii="仿宋" w:hAnsi="仿宋" w:eastAsia="仿宋"/>
          <w:sz w:val="28"/>
          <w:szCs w:val="28"/>
        </w:rPr>
        <w:t>　　根据《中华人民共和国政府信息公开条例》有关规定，表中不含不予公开信息。</w:t>
      </w:r>
      <w:r>
        <w:rPr>
          <w:rFonts w:ascii="仿宋" w:hAnsi="仿宋" w:eastAsia="仿宋"/>
          <w:sz w:val="28"/>
          <w:szCs w:val="28"/>
        </w:rPr>
        <w:br w:type="page"/>
      </w:r>
    </w:p>
    <w:p>
      <w:pPr>
        <w:rPr>
          <w:rFonts w:ascii="仿宋" w:hAnsi="仿宋" w:eastAsia="仿宋"/>
          <w:sz w:val="28"/>
          <w:szCs w:val="28"/>
        </w:rPr>
        <w:sectPr>
          <w:pgSz w:w="11906" w:h="16838"/>
          <w:pgMar w:top="1440" w:right="1800" w:bottom="1440" w:left="1800" w:header="851" w:footer="992" w:gutter="0"/>
          <w:cols w:space="425" w:num="1"/>
          <w:docGrid w:type="lines" w:linePitch="312" w:charSpace="0"/>
        </w:sectPr>
      </w:pPr>
    </w:p>
    <w:tbl>
      <w:tblPr>
        <w:tblStyle w:val="6"/>
        <w:tblW w:w="135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0"/>
        <w:gridCol w:w="2346"/>
        <w:gridCol w:w="2546"/>
        <w:gridCol w:w="2546"/>
        <w:gridCol w:w="2389"/>
        <w:gridCol w:w="1077"/>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3556" w:type="dxa"/>
            <w:gridSpan w:val="7"/>
            <w:shd w:val="clear" w:color="auto" w:fill="auto"/>
            <w:noWrap/>
            <w:vAlign w:val="center"/>
          </w:tcPr>
          <w:p>
            <w:pPr>
              <w:widowControl/>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202</w:t>
            </w:r>
            <w:r>
              <w:rPr>
                <w:rFonts w:ascii="仿宋" w:hAnsi="仿宋" w:eastAsia="仿宋" w:cs="宋体"/>
                <w:b/>
                <w:bCs/>
                <w:color w:val="000000"/>
                <w:kern w:val="0"/>
                <w:sz w:val="28"/>
                <w:szCs w:val="28"/>
              </w:rPr>
              <w:t>2</w:t>
            </w:r>
            <w:r>
              <w:rPr>
                <w:rFonts w:hint="eastAsia" w:ascii="仿宋" w:hAnsi="仿宋" w:eastAsia="仿宋" w:cs="宋体"/>
                <w:b/>
                <w:bCs/>
                <w:color w:val="000000"/>
                <w:kern w:val="0"/>
                <w:sz w:val="28"/>
                <w:szCs w:val="28"/>
              </w:rPr>
              <w:t>年部门整体绩效评价指标体系评分表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3556" w:type="dxa"/>
            <w:gridSpan w:val="7"/>
            <w:shd w:val="clear" w:color="auto" w:fill="auto"/>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一、当年预算执行情况（20分）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一级指标　</w:t>
            </w:r>
          </w:p>
        </w:tc>
        <w:tc>
          <w:tcPr>
            <w:tcW w:w="23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二级指标　</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预算数（万元）</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执行数（万元）</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预算执行率</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分值</w:t>
            </w:r>
          </w:p>
        </w:tc>
        <w:tc>
          <w:tcPr>
            <w:tcW w:w="1162"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当年预算执行情况（20）</w:t>
            </w:r>
          </w:p>
        </w:tc>
        <w:tc>
          <w:tcPr>
            <w:tcW w:w="23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资金总体</w:t>
            </w:r>
          </w:p>
        </w:tc>
        <w:tc>
          <w:tcPr>
            <w:tcW w:w="2546" w:type="dxa"/>
            <w:shd w:val="clear" w:color="auto" w:fill="auto"/>
            <w:vAlign w:val="center"/>
          </w:tcPr>
          <w:p>
            <w:pPr>
              <w:widowControl/>
              <w:jc w:val="right"/>
              <w:rPr>
                <w:rFonts w:ascii="仿宋" w:hAnsi="仿宋" w:eastAsia="仿宋" w:cs="宋体"/>
                <w:color w:val="000000"/>
                <w:kern w:val="0"/>
                <w:sz w:val="24"/>
              </w:rPr>
            </w:pPr>
            <w:r>
              <w:rPr>
                <w:rFonts w:hint="eastAsia" w:ascii="仿宋" w:hAnsi="仿宋" w:eastAsia="仿宋" w:cs="宋体"/>
                <w:color w:val="000000"/>
                <w:kern w:val="0"/>
                <w:sz w:val="24"/>
                <w:lang w:val="en-US" w:eastAsia="zh-CN"/>
              </w:rPr>
              <w:t>9,091.21</w:t>
            </w:r>
          </w:p>
        </w:tc>
        <w:tc>
          <w:tcPr>
            <w:tcW w:w="2546" w:type="dxa"/>
            <w:shd w:val="clear" w:color="auto" w:fill="auto"/>
            <w:vAlign w:val="center"/>
          </w:tcPr>
          <w:p>
            <w:pPr>
              <w:widowControl/>
              <w:jc w:val="right"/>
              <w:rPr>
                <w:rFonts w:ascii="仿宋" w:hAnsi="仿宋" w:eastAsia="仿宋" w:cs="宋体"/>
                <w:color w:val="000000"/>
                <w:kern w:val="0"/>
                <w:sz w:val="24"/>
              </w:rPr>
            </w:pPr>
            <w:r>
              <w:rPr>
                <w:rFonts w:ascii="仿宋" w:hAnsi="仿宋" w:eastAsia="仿宋" w:cs="宋体"/>
                <w:color w:val="000000"/>
                <w:kern w:val="0"/>
                <w:sz w:val="24"/>
              </w:rPr>
              <w:t>8,535.56</w:t>
            </w:r>
          </w:p>
        </w:tc>
        <w:tc>
          <w:tcPr>
            <w:tcW w:w="2389" w:type="dxa"/>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lang w:val="en-US" w:eastAsia="zh-CN"/>
              </w:rPr>
              <w:t>93.89</w:t>
            </w:r>
            <w:r>
              <w:rPr>
                <w:rFonts w:ascii="仿宋" w:hAnsi="仿宋" w:eastAsia="仿宋" w:cs="宋体"/>
                <w:color w:val="000000"/>
                <w:kern w:val="0"/>
                <w:sz w:val="24"/>
              </w:rPr>
              <w:t>%</w:t>
            </w:r>
          </w:p>
        </w:tc>
        <w:tc>
          <w:tcPr>
            <w:tcW w:w="1077" w:type="dxa"/>
            <w:vMerge w:val="restart"/>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162" w:type="dxa"/>
            <w:vMerge w:val="restart"/>
            <w:shd w:val="clear" w:color="auto" w:fill="auto"/>
            <w:noWrap/>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基本支出</w:t>
            </w:r>
          </w:p>
        </w:tc>
        <w:tc>
          <w:tcPr>
            <w:tcW w:w="2546" w:type="dxa"/>
            <w:shd w:val="clear" w:color="auto" w:fill="auto"/>
            <w:vAlign w:val="center"/>
          </w:tcPr>
          <w:p>
            <w:pPr>
              <w:widowControl/>
              <w:jc w:val="right"/>
              <w:rPr>
                <w:rFonts w:hint="default" w:ascii="仿宋" w:hAnsi="仿宋" w:eastAsia="仿宋" w:cs="宋体"/>
                <w:color w:val="FF0000"/>
                <w:kern w:val="0"/>
                <w:sz w:val="24"/>
                <w:lang w:val="en-US" w:eastAsia="zh-CN"/>
              </w:rPr>
            </w:pPr>
            <w:r>
              <w:rPr>
                <w:rFonts w:hint="eastAsia" w:ascii="仿宋" w:hAnsi="仿宋" w:eastAsia="仿宋" w:cs="宋体"/>
                <w:color w:val="000000"/>
                <w:kern w:val="0"/>
                <w:sz w:val="24"/>
                <w:lang w:val="en-US" w:eastAsia="zh-CN"/>
              </w:rPr>
              <w:t>6,160.43</w:t>
            </w:r>
          </w:p>
        </w:tc>
        <w:tc>
          <w:tcPr>
            <w:tcW w:w="2546" w:type="dxa"/>
            <w:shd w:val="clear" w:color="auto" w:fill="auto"/>
            <w:vAlign w:val="center"/>
          </w:tcPr>
          <w:p>
            <w:pPr>
              <w:widowControl/>
              <w:jc w:val="right"/>
              <w:rPr>
                <w:rFonts w:ascii="仿宋" w:hAnsi="仿宋" w:eastAsia="仿宋" w:cs="宋体"/>
                <w:color w:val="000000"/>
                <w:kern w:val="0"/>
                <w:sz w:val="24"/>
              </w:rPr>
            </w:pPr>
            <w:r>
              <w:rPr>
                <w:rFonts w:hint="eastAsia" w:ascii="仿宋" w:hAnsi="仿宋" w:eastAsia="仿宋" w:cs="宋体"/>
                <w:color w:val="000000"/>
                <w:kern w:val="0"/>
                <w:sz w:val="24"/>
              </w:rPr>
              <w:t>5</w:t>
            </w:r>
            <w:r>
              <w:rPr>
                <w:rFonts w:ascii="仿宋" w:hAnsi="仿宋" w:eastAsia="仿宋" w:cs="宋体"/>
                <w:color w:val="000000"/>
                <w:kern w:val="0"/>
                <w:sz w:val="24"/>
              </w:rPr>
              <w:t>,858.70</w:t>
            </w:r>
          </w:p>
        </w:tc>
        <w:tc>
          <w:tcPr>
            <w:tcW w:w="2389" w:type="dxa"/>
            <w:vMerge w:val="continue"/>
            <w:vAlign w:val="center"/>
          </w:tcPr>
          <w:p>
            <w:pPr>
              <w:widowControl/>
              <w:jc w:val="left"/>
              <w:rPr>
                <w:rFonts w:ascii="仿宋" w:hAnsi="仿宋" w:eastAsia="仿宋" w:cs="宋体"/>
                <w:color w:val="000000"/>
                <w:kern w:val="0"/>
                <w:sz w:val="24"/>
              </w:rPr>
            </w:pPr>
          </w:p>
        </w:tc>
        <w:tc>
          <w:tcPr>
            <w:tcW w:w="1077" w:type="dxa"/>
            <w:vMerge w:val="continue"/>
            <w:vAlign w:val="center"/>
          </w:tcPr>
          <w:p>
            <w:pPr>
              <w:widowControl/>
              <w:jc w:val="left"/>
              <w:rPr>
                <w:rFonts w:ascii="仿宋" w:hAnsi="仿宋" w:eastAsia="仿宋" w:cs="宋体"/>
                <w:color w:val="000000"/>
                <w:kern w:val="0"/>
                <w:sz w:val="24"/>
              </w:rPr>
            </w:pPr>
          </w:p>
        </w:tc>
        <w:tc>
          <w:tcPr>
            <w:tcW w:w="1162" w:type="dxa"/>
            <w:vMerge w:val="continue"/>
            <w:vAlign w:val="center"/>
          </w:tcPr>
          <w:p>
            <w:pPr>
              <w:widowControl/>
              <w:jc w:val="left"/>
              <w:rPr>
                <w:rFonts w:ascii="仿宋" w:hAnsi="仿宋" w:eastAsia="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项目支出</w:t>
            </w:r>
          </w:p>
        </w:tc>
        <w:tc>
          <w:tcPr>
            <w:tcW w:w="2546" w:type="dxa"/>
            <w:shd w:val="clear" w:color="auto" w:fill="auto"/>
            <w:vAlign w:val="center"/>
          </w:tcPr>
          <w:p>
            <w:pPr>
              <w:widowControl/>
              <w:jc w:val="right"/>
              <w:rPr>
                <w:rFonts w:hint="default" w:ascii="仿宋" w:hAnsi="仿宋" w:eastAsia="仿宋" w:cs="宋体"/>
                <w:color w:val="FF0000"/>
                <w:kern w:val="0"/>
                <w:sz w:val="24"/>
                <w:lang w:val="en-US" w:eastAsia="zh-CN"/>
              </w:rPr>
            </w:pPr>
            <w:r>
              <w:rPr>
                <w:rFonts w:hint="eastAsia" w:ascii="仿宋" w:hAnsi="仿宋" w:eastAsia="仿宋" w:cs="宋体"/>
                <w:color w:val="000000"/>
                <w:kern w:val="0"/>
                <w:sz w:val="24"/>
              </w:rPr>
              <w:t>2,</w:t>
            </w:r>
            <w:r>
              <w:rPr>
                <w:rFonts w:hint="eastAsia" w:ascii="仿宋" w:hAnsi="仿宋" w:eastAsia="仿宋" w:cs="宋体"/>
                <w:color w:val="000000"/>
                <w:kern w:val="0"/>
                <w:sz w:val="24"/>
                <w:lang w:val="en-US" w:eastAsia="zh-CN"/>
              </w:rPr>
              <w:t>930.78</w:t>
            </w:r>
          </w:p>
        </w:tc>
        <w:tc>
          <w:tcPr>
            <w:tcW w:w="2546" w:type="dxa"/>
            <w:shd w:val="clear" w:color="auto" w:fill="auto"/>
            <w:vAlign w:val="center"/>
          </w:tcPr>
          <w:p>
            <w:pPr>
              <w:widowControl/>
              <w:jc w:val="right"/>
              <w:rPr>
                <w:rFonts w:ascii="仿宋" w:hAnsi="仿宋" w:eastAsia="仿宋" w:cs="宋体"/>
                <w:color w:val="000000"/>
                <w:kern w:val="0"/>
                <w:sz w:val="24"/>
              </w:rPr>
            </w:pPr>
            <w:r>
              <w:rPr>
                <w:rFonts w:hint="eastAsia" w:ascii="仿宋" w:hAnsi="仿宋" w:eastAsia="仿宋" w:cs="宋体"/>
                <w:color w:val="000000"/>
                <w:kern w:val="0"/>
                <w:sz w:val="24"/>
              </w:rPr>
              <w:t>2</w:t>
            </w:r>
            <w:r>
              <w:rPr>
                <w:rFonts w:ascii="仿宋" w:hAnsi="仿宋" w:eastAsia="仿宋" w:cs="宋体"/>
                <w:color w:val="000000"/>
                <w:kern w:val="0"/>
                <w:sz w:val="24"/>
              </w:rPr>
              <w:t>,676.87</w:t>
            </w:r>
          </w:p>
        </w:tc>
        <w:tc>
          <w:tcPr>
            <w:tcW w:w="2389" w:type="dxa"/>
            <w:vMerge w:val="continue"/>
            <w:vAlign w:val="center"/>
          </w:tcPr>
          <w:p>
            <w:pPr>
              <w:widowControl/>
              <w:jc w:val="left"/>
              <w:rPr>
                <w:rFonts w:ascii="仿宋" w:hAnsi="仿宋" w:eastAsia="仿宋" w:cs="宋体"/>
                <w:color w:val="000000"/>
                <w:kern w:val="0"/>
                <w:sz w:val="24"/>
              </w:rPr>
            </w:pPr>
          </w:p>
        </w:tc>
        <w:tc>
          <w:tcPr>
            <w:tcW w:w="1077" w:type="dxa"/>
            <w:vMerge w:val="continue"/>
            <w:vAlign w:val="center"/>
          </w:tcPr>
          <w:p>
            <w:pPr>
              <w:widowControl/>
              <w:jc w:val="left"/>
              <w:rPr>
                <w:rFonts w:ascii="仿宋" w:hAnsi="仿宋" w:eastAsia="仿宋" w:cs="宋体"/>
                <w:color w:val="000000"/>
                <w:kern w:val="0"/>
                <w:sz w:val="24"/>
              </w:rPr>
            </w:pPr>
          </w:p>
        </w:tc>
        <w:tc>
          <w:tcPr>
            <w:tcW w:w="1162" w:type="dxa"/>
            <w:vMerge w:val="continue"/>
            <w:vAlign w:val="center"/>
          </w:tcPr>
          <w:p>
            <w:pPr>
              <w:widowControl/>
              <w:jc w:val="left"/>
              <w:rPr>
                <w:rFonts w:ascii="仿宋" w:hAnsi="仿宋" w:eastAsia="仿宋"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3556" w:type="dxa"/>
            <w:gridSpan w:val="7"/>
            <w:shd w:val="clear" w:color="auto" w:fill="auto"/>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二、整体绩效目标实现情况（60分）</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一级指标</w:t>
            </w:r>
          </w:p>
        </w:tc>
        <w:tc>
          <w:tcPr>
            <w:tcW w:w="23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二级指标　</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三级指标　</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指标值</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完成值</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分值</w:t>
            </w:r>
          </w:p>
        </w:tc>
        <w:tc>
          <w:tcPr>
            <w:tcW w:w="1162"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整体绩效目标实现情况（60）</w:t>
            </w:r>
          </w:p>
        </w:tc>
        <w:tc>
          <w:tcPr>
            <w:tcW w:w="2346" w:type="dxa"/>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产出</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数量指标</w:t>
            </w:r>
          </w:p>
        </w:tc>
        <w:tc>
          <w:tcPr>
            <w:tcW w:w="2546" w:type="dxa"/>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lang w:val="en-US" w:eastAsia="zh-CN"/>
              </w:rPr>
              <w:t>完成</w:t>
            </w:r>
            <w:r>
              <w:rPr>
                <w:rFonts w:hint="eastAsia" w:ascii="仿宋" w:hAnsi="仿宋" w:eastAsia="仿宋" w:cs="宋体"/>
                <w:color w:val="000000"/>
                <w:kern w:val="0"/>
                <w:sz w:val="24"/>
              </w:rPr>
              <w:t>项目</w:t>
            </w:r>
            <w:r>
              <w:rPr>
                <w:rFonts w:hint="eastAsia" w:ascii="仿宋" w:hAnsi="仿宋" w:eastAsia="仿宋" w:cs="宋体"/>
                <w:color w:val="000000"/>
                <w:kern w:val="0"/>
                <w:sz w:val="24"/>
                <w:lang w:val="en-US" w:eastAsia="zh-CN"/>
              </w:rPr>
              <w:t>10</w:t>
            </w:r>
            <w:r>
              <w:rPr>
                <w:rFonts w:hint="eastAsia" w:ascii="仿宋" w:hAnsi="仿宋" w:eastAsia="仿宋" w:cs="宋体"/>
                <w:color w:val="000000"/>
                <w:kern w:val="0"/>
                <w:sz w:val="24"/>
              </w:rPr>
              <w:t>个</w:t>
            </w:r>
          </w:p>
        </w:tc>
        <w:tc>
          <w:tcPr>
            <w:tcW w:w="2389" w:type="dxa"/>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完成项目</w:t>
            </w:r>
            <w:r>
              <w:rPr>
                <w:rFonts w:hint="eastAsia" w:ascii="仿宋" w:hAnsi="仿宋" w:eastAsia="仿宋" w:cs="宋体"/>
                <w:color w:val="000000"/>
                <w:kern w:val="0"/>
                <w:sz w:val="24"/>
                <w:lang w:val="en-US" w:eastAsia="zh-CN"/>
              </w:rPr>
              <w:t>13</w:t>
            </w:r>
            <w:r>
              <w:rPr>
                <w:rFonts w:hint="eastAsia" w:ascii="仿宋" w:hAnsi="仿宋" w:eastAsia="仿宋" w:cs="宋体"/>
                <w:color w:val="000000"/>
                <w:kern w:val="0"/>
                <w:sz w:val="24"/>
              </w:rPr>
              <w:t>个</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7.5</w:t>
            </w:r>
          </w:p>
        </w:tc>
        <w:tc>
          <w:tcPr>
            <w:tcW w:w="1162"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lang w:val="en-US" w:eastAsia="zh-CN"/>
              </w:rPr>
              <w:t>6</w:t>
            </w:r>
            <w:r>
              <w:rPr>
                <w:rFonts w:hint="eastAsia" w:ascii="仿宋" w:hAnsi="仿宋" w:eastAsia="仿宋" w:cs="宋体"/>
                <w:color w:val="000000"/>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vMerge w:val="continue"/>
            <w:vAlign w:val="center"/>
          </w:tcPr>
          <w:p>
            <w:pPr>
              <w:widowControl/>
              <w:jc w:val="left"/>
              <w:rPr>
                <w:rFonts w:ascii="仿宋" w:hAnsi="仿宋" w:eastAsia="仿宋" w:cs="宋体"/>
                <w:color w:val="000000"/>
                <w:kern w:val="0"/>
                <w:sz w:val="24"/>
              </w:rPr>
            </w:pP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质量指标</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达到项目实施绩效目标</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达到项目实施绩效目标</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7.5</w:t>
            </w:r>
          </w:p>
        </w:tc>
        <w:tc>
          <w:tcPr>
            <w:tcW w:w="1162"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lang w:val="en-US" w:eastAsia="zh-CN"/>
              </w:rPr>
              <w:t>6</w:t>
            </w:r>
            <w:r>
              <w:rPr>
                <w:rFonts w:hint="eastAsia" w:ascii="仿宋" w:hAnsi="仿宋" w:eastAsia="仿宋" w:cs="宋体"/>
                <w:color w:val="000000"/>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vMerge w:val="continue"/>
            <w:vAlign w:val="center"/>
          </w:tcPr>
          <w:p>
            <w:pPr>
              <w:widowControl/>
              <w:jc w:val="left"/>
              <w:rPr>
                <w:rFonts w:ascii="仿宋" w:hAnsi="仿宋" w:eastAsia="仿宋" w:cs="宋体"/>
                <w:color w:val="000000"/>
                <w:kern w:val="0"/>
                <w:sz w:val="24"/>
              </w:rPr>
            </w:pP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时效指标</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w:t>
            </w:r>
            <w:r>
              <w:rPr>
                <w:rFonts w:ascii="仿宋" w:hAnsi="仿宋" w:eastAsia="仿宋" w:cs="宋体"/>
                <w:color w:val="000000"/>
                <w:kern w:val="0"/>
                <w:sz w:val="24"/>
              </w:rPr>
              <w:t>2</w:t>
            </w:r>
            <w:r>
              <w:rPr>
                <w:rFonts w:hint="eastAsia" w:ascii="仿宋" w:hAnsi="仿宋" w:eastAsia="仿宋" w:cs="宋体"/>
                <w:color w:val="000000"/>
                <w:kern w:val="0"/>
                <w:sz w:val="24"/>
              </w:rPr>
              <w:t>年12月31日前完成</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w:t>
            </w:r>
            <w:r>
              <w:rPr>
                <w:rFonts w:ascii="仿宋" w:hAnsi="仿宋" w:eastAsia="仿宋" w:cs="宋体"/>
                <w:color w:val="000000"/>
                <w:kern w:val="0"/>
                <w:sz w:val="24"/>
              </w:rPr>
              <w:t>2</w:t>
            </w:r>
            <w:r>
              <w:rPr>
                <w:rFonts w:hint="eastAsia" w:ascii="仿宋" w:hAnsi="仿宋" w:eastAsia="仿宋" w:cs="宋体"/>
                <w:color w:val="000000"/>
                <w:kern w:val="0"/>
                <w:sz w:val="24"/>
              </w:rPr>
              <w:t>年12月31日前完成</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7.5</w:t>
            </w:r>
          </w:p>
        </w:tc>
        <w:tc>
          <w:tcPr>
            <w:tcW w:w="1162"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vMerge w:val="continue"/>
            <w:vAlign w:val="center"/>
          </w:tcPr>
          <w:p>
            <w:pPr>
              <w:widowControl/>
              <w:jc w:val="left"/>
              <w:rPr>
                <w:rFonts w:ascii="仿宋" w:hAnsi="仿宋" w:eastAsia="仿宋" w:cs="宋体"/>
                <w:color w:val="000000"/>
                <w:kern w:val="0"/>
                <w:sz w:val="24"/>
              </w:rPr>
            </w:pP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成本指标</w:t>
            </w:r>
          </w:p>
        </w:tc>
        <w:tc>
          <w:tcPr>
            <w:tcW w:w="2546" w:type="dxa"/>
            <w:shd w:val="clear" w:color="auto" w:fill="auto"/>
            <w:vAlign w:val="center"/>
          </w:tcPr>
          <w:p>
            <w:pPr>
              <w:widowControl/>
              <w:jc w:val="center"/>
              <w:rPr>
                <w:rFonts w:hint="eastAsia" w:ascii="仿宋" w:hAnsi="仿宋" w:eastAsia="微软雅黑" w:cs="宋体"/>
                <w:color w:val="000000"/>
                <w:kern w:val="0"/>
                <w:sz w:val="24"/>
                <w:lang w:val="en-US" w:eastAsia="zh-CN"/>
              </w:rPr>
            </w:pPr>
            <w:r>
              <w:rPr>
                <w:rFonts w:hint="eastAsia" w:ascii="仿宋" w:hAnsi="仿宋" w:eastAsia="仿宋" w:cs="宋体"/>
                <w:color w:val="000000"/>
                <w:kern w:val="0"/>
                <w:sz w:val="24"/>
              </w:rPr>
              <w:t>项目支出2,</w:t>
            </w:r>
            <w:r>
              <w:rPr>
                <w:rFonts w:hint="eastAsia" w:ascii="仿宋" w:hAnsi="仿宋" w:eastAsia="仿宋" w:cs="宋体"/>
                <w:color w:val="000000"/>
                <w:kern w:val="0"/>
                <w:sz w:val="24"/>
                <w:lang w:val="en-US" w:eastAsia="zh-CN"/>
              </w:rPr>
              <w:t>930.78万元</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项目支出</w:t>
            </w:r>
            <w:r>
              <w:rPr>
                <w:rFonts w:ascii="仿宋" w:hAnsi="仿宋" w:eastAsia="仿宋" w:cs="宋体"/>
                <w:color w:val="000000"/>
                <w:kern w:val="0"/>
                <w:sz w:val="24"/>
              </w:rPr>
              <w:t>2,676.87</w:t>
            </w:r>
            <w:r>
              <w:rPr>
                <w:rFonts w:hint="eastAsia" w:ascii="仿宋" w:hAnsi="仿宋" w:eastAsia="仿宋" w:cs="宋体"/>
                <w:color w:val="000000"/>
                <w:kern w:val="0"/>
                <w:sz w:val="24"/>
              </w:rPr>
              <w:t>万元</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7.5</w:t>
            </w:r>
          </w:p>
        </w:tc>
        <w:tc>
          <w:tcPr>
            <w:tcW w:w="1162" w:type="dxa"/>
            <w:shd w:val="clear" w:color="auto" w:fill="auto"/>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效果</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社会效益</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全力维护首都民族宗教领域和谐稳定</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全力维护首都民族宗教领域和谐稳定</w:t>
            </w:r>
          </w:p>
        </w:tc>
        <w:tc>
          <w:tcPr>
            <w:tcW w:w="1077"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162" w:type="dxa"/>
            <w:shd w:val="clear" w:color="auto" w:fill="auto"/>
            <w:noWrap/>
            <w:vAlign w:val="center"/>
          </w:tcPr>
          <w:p>
            <w:pPr>
              <w:widowControl/>
              <w:jc w:val="center"/>
              <w:rPr>
                <w:rFonts w:hint="default" w:ascii="仿宋" w:hAnsi="仿宋" w:eastAsia="仿宋" w:cs="宋体"/>
                <w:color w:val="000000"/>
                <w:kern w:val="0"/>
                <w:sz w:val="24"/>
                <w:lang w:val="en-US"/>
              </w:rPr>
            </w:pPr>
            <w:r>
              <w:rPr>
                <w:rFonts w:hint="eastAsia" w:ascii="仿宋" w:hAnsi="仿宋" w:eastAsia="仿宋" w:cs="宋体"/>
                <w:color w:val="000000"/>
                <w:kern w:val="0"/>
                <w:sz w:val="24"/>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vMerge w:val="continue"/>
            <w:vAlign w:val="center"/>
          </w:tcPr>
          <w:p>
            <w:pPr>
              <w:widowControl/>
              <w:jc w:val="left"/>
              <w:rPr>
                <w:rFonts w:ascii="仿宋" w:hAnsi="仿宋" w:eastAsia="仿宋" w:cs="宋体"/>
                <w:color w:val="000000"/>
                <w:kern w:val="0"/>
                <w:sz w:val="24"/>
              </w:rPr>
            </w:pP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服务对象满意度</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≥95%</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≥95%</w:t>
            </w:r>
          </w:p>
        </w:tc>
        <w:tc>
          <w:tcPr>
            <w:tcW w:w="1077"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162" w:type="dxa"/>
            <w:shd w:val="clear" w:color="auto" w:fill="auto"/>
            <w:noWrap/>
            <w:vAlign w:val="center"/>
          </w:tcPr>
          <w:p>
            <w:pPr>
              <w:widowControl/>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1</w:t>
            </w:r>
            <w:r>
              <w:rPr>
                <w:rFonts w:hint="eastAsia" w:ascii="仿宋" w:hAnsi="仿宋" w:eastAsia="仿宋" w:cs="宋体"/>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3556" w:type="dxa"/>
            <w:gridSpan w:val="7"/>
            <w:shd w:val="clear" w:color="auto" w:fill="auto"/>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三、预算管理情况（20分）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一级指标</w:t>
            </w:r>
          </w:p>
        </w:tc>
        <w:tc>
          <w:tcPr>
            <w:tcW w:w="23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二级指标</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三级指标</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指标值</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完成值</w:t>
            </w:r>
          </w:p>
        </w:tc>
        <w:tc>
          <w:tcPr>
            <w:tcW w:w="1077"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分值</w:t>
            </w:r>
          </w:p>
        </w:tc>
        <w:tc>
          <w:tcPr>
            <w:tcW w:w="116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预算管理情况（20）</w:t>
            </w:r>
          </w:p>
        </w:tc>
        <w:tc>
          <w:tcPr>
            <w:tcW w:w="2346" w:type="dxa"/>
            <w:vMerge w:val="restart"/>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财务管理（4）</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财务管理制度健全性</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财务管理制度健全</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财务管理制度健全</w:t>
            </w:r>
          </w:p>
        </w:tc>
        <w:tc>
          <w:tcPr>
            <w:tcW w:w="1077"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16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vMerge w:val="continue"/>
            <w:vAlign w:val="center"/>
          </w:tcPr>
          <w:p>
            <w:pPr>
              <w:widowControl/>
              <w:jc w:val="left"/>
              <w:rPr>
                <w:rFonts w:ascii="仿宋" w:hAnsi="仿宋" w:eastAsia="仿宋" w:cs="宋体"/>
                <w:color w:val="000000"/>
                <w:kern w:val="0"/>
                <w:sz w:val="24"/>
              </w:rPr>
            </w:pP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资金使用合规性和安全性</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资金使用合规和安全</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资金使用合规和安全</w:t>
            </w:r>
          </w:p>
        </w:tc>
        <w:tc>
          <w:tcPr>
            <w:tcW w:w="1077"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w:t>
            </w:r>
          </w:p>
        </w:tc>
        <w:tc>
          <w:tcPr>
            <w:tcW w:w="116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vMerge w:val="continue"/>
            <w:vAlign w:val="center"/>
          </w:tcPr>
          <w:p>
            <w:pPr>
              <w:widowControl/>
              <w:jc w:val="left"/>
              <w:rPr>
                <w:rFonts w:ascii="仿宋" w:hAnsi="仿宋" w:eastAsia="仿宋" w:cs="宋体"/>
                <w:color w:val="000000"/>
                <w:kern w:val="0"/>
                <w:sz w:val="24"/>
              </w:rPr>
            </w:pP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会计基础信息完善性</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会计基础信息完善</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会计基础信息完善</w:t>
            </w:r>
          </w:p>
        </w:tc>
        <w:tc>
          <w:tcPr>
            <w:tcW w:w="1077"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1162" w:type="dxa"/>
            <w:shd w:val="clear" w:color="auto" w:fill="auto"/>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资产管理（4）</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资产管理规范性</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资产管理规范</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资产管理规范</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1162"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绩效管理（4）</w:t>
            </w:r>
          </w:p>
        </w:tc>
        <w:tc>
          <w:tcPr>
            <w:tcW w:w="25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绩效管理情况</w:t>
            </w:r>
          </w:p>
        </w:tc>
        <w:tc>
          <w:tcPr>
            <w:tcW w:w="2546" w:type="dxa"/>
            <w:shd w:val="clear" w:color="auto" w:fill="auto"/>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进行汇总分析整理、及时进行矫正</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进行汇总分析整理、及时进行矫正</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1162" w:type="dxa"/>
            <w:shd w:val="clear" w:color="auto" w:fill="auto"/>
            <w:vAlign w:val="center"/>
          </w:tcPr>
          <w:p>
            <w:pPr>
              <w:widowControl/>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指标　</w:t>
            </w:r>
          </w:p>
        </w:tc>
        <w:tc>
          <w:tcPr>
            <w:tcW w:w="5092" w:type="dxa"/>
            <w:gridSpan w:val="2"/>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w:t>
            </w:r>
            <w:r>
              <w:rPr>
                <w:rFonts w:ascii="仿宋" w:hAnsi="仿宋" w:eastAsia="仿宋" w:cs="宋体"/>
                <w:color w:val="000000"/>
                <w:kern w:val="0"/>
                <w:sz w:val="24"/>
              </w:rPr>
              <w:t>1</w:t>
            </w:r>
            <w:r>
              <w:rPr>
                <w:rFonts w:hint="eastAsia" w:ascii="仿宋" w:hAnsi="仿宋" w:eastAsia="仿宋" w:cs="宋体"/>
                <w:color w:val="000000"/>
                <w:kern w:val="0"/>
                <w:sz w:val="24"/>
              </w:rPr>
              <w:t>年</w:t>
            </w:r>
          </w:p>
        </w:tc>
        <w:tc>
          <w:tcPr>
            <w:tcW w:w="2389"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202</w:t>
            </w:r>
            <w:r>
              <w:rPr>
                <w:rFonts w:ascii="仿宋" w:hAnsi="仿宋" w:eastAsia="仿宋" w:cs="宋体"/>
                <w:color w:val="000000"/>
                <w:kern w:val="0"/>
                <w:sz w:val="24"/>
              </w:rPr>
              <w:t>2</w:t>
            </w:r>
            <w:r>
              <w:rPr>
                <w:rFonts w:hint="eastAsia" w:ascii="仿宋" w:hAnsi="仿宋" w:eastAsia="仿宋" w:cs="宋体"/>
                <w:color w:val="000000"/>
                <w:kern w:val="0"/>
                <w:sz w:val="24"/>
              </w:rPr>
              <w:t>年</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分值</w:t>
            </w:r>
          </w:p>
        </w:tc>
        <w:tc>
          <w:tcPr>
            <w:tcW w:w="1162"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shd w:val="clear" w:color="auto" w:fill="auto"/>
            <w:vAlign w:val="center"/>
          </w:tcPr>
          <w:p>
            <w:pPr>
              <w:widowControl/>
              <w:rPr>
                <w:rFonts w:ascii="仿宋" w:hAnsi="仿宋" w:eastAsia="仿宋" w:cs="宋体"/>
                <w:color w:val="000000"/>
                <w:kern w:val="0"/>
                <w:sz w:val="24"/>
              </w:rPr>
            </w:pPr>
            <w:r>
              <w:rPr>
                <w:rFonts w:hint="eastAsia" w:ascii="仿宋" w:hAnsi="仿宋" w:eastAsia="仿宋" w:cs="宋体"/>
                <w:color w:val="000000"/>
                <w:kern w:val="0"/>
                <w:sz w:val="24"/>
              </w:rPr>
              <w:t>结转结余率（4）</w:t>
            </w:r>
          </w:p>
        </w:tc>
        <w:tc>
          <w:tcPr>
            <w:tcW w:w="5092" w:type="dxa"/>
            <w:gridSpan w:val="2"/>
            <w:shd w:val="clear" w:color="auto" w:fill="auto"/>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2.83%</w:t>
            </w:r>
          </w:p>
        </w:tc>
        <w:tc>
          <w:tcPr>
            <w:tcW w:w="2389" w:type="dxa"/>
            <w:shd w:val="clear" w:color="auto" w:fill="auto"/>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6.1</w:t>
            </w:r>
            <w:r>
              <w:rPr>
                <w:rFonts w:hint="eastAsia" w:ascii="仿宋" w:hAnsi="仿宋" w:eastAsia="仿宋" w:cs="宋体"/>
                <w:color w:val="000000"/>
                <w:kern w:val="0"/>
                <w:sz w:val="24"/>
                <w:lang w:val="en-US" w:eastAsia="zh-CN"/>
              </w:rPr>
              <w:t>1</w:t>
            </w:r>
            <w:r>
              <w:rPr>
                <w:rFonts w:ascii="仿宋" w:hAnsi="仿宋" w:eastAsia="仿宋" w:cs="宋体"/>
                <w:color w:val="000000"/>
                <w:kern w:val="0"/>
                <w:sz w:val="24"/>
              </w:rPr>
              <w:t>%</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1162"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490" w:type="dxa"/>
            <w:vMerge w:val="continue"/>
            <w:vAlign w:val="center"/>
          </w:tcPr>
          <w:p>
            <w:pPr>
              <w:widowControl/>
              <w:jc w:val="left"/>
              <w:rPr>
                <w:rFonts w:ascii="仿宋" w:hAnsi="仿宋" w:eastAsia="仿宋" w:cs="宋体"/>
                <w:color w:val="000000"/>
                <w:kern w:val="0"/>
                <w:sz w:val="24"/>
              </w:rPr>
            </w:pPr>
          </w:p>
        </w:tc>
        <w:tc>
          <w:tcPr>
            <w:tcW w:w="2346" w:type="dxa"/>
            <w:shd w:val="clear" w:color="auto" w:fill="auto"/>
            <w:vAlign w:val="center"/>
          </w:tcPr>
          <w:p>
            <w:pPr>
              <w:widowControl/>
              <w:rPr>
                <w:rFonts w:ascii="仿宋" w:hAnsi="仿宋" w:eastAsia="仿宋" w:cs="宋体"/>
                <w:color w:val="000000"/>
                <w:kern w:val="0"/>
                <w:sz w:val="24"/>
              </w:rPr>
            </w:pPr>
            <w:r>
              <w:rPr>
                <w:rFonts w:hint="eastAsia" w:ascii="仿宋" w:hAnsi="仿宋" w:eastAsia="仿宋" w:cs="宋体"/>
                <w:color w:val="000000"/>
                <w:kern w:val="0"/>
                <w:sz w:val="24"/>
              </w:rPr>
              <w:t>部门预决算差异率（4）</w:t>
            </w:r>
          </w:p>
        </w:tc>
        <w:tc>
          <w:tcPr>
            <w:tcW w:w="5092" w:type="dxa"/>
            <w:gridSpan w:val="2"/>
            <w:shd w:val="clear" w:color="auto" w:fill="auto"/>
            <w:vAlign w:val="center"/>
          </w:tcPr>
          <w:p>
            <w:pPr>
              <w:widowControl/>
              <w:jc w:val="center"/>
              <w:rPr>
                <w:rFonts w:ascii="仿宋" w:hAnsi="仿宋" w:eastAsia="仿宋" w:cs="宋体"/>
                <w:color w:val="000000"/>
                <w:kern w:val="0"/>
                <w:sz w:val="24"/>
              </w:rPr>
            </w:pPr>
            <w:r>
              <w:rPr>
                <w:rFonts w:ascii="仿宋" w:hAnsi="仿宋" w:eastAsia="仿宋" w:cs="宋体"/>
                <w:color w:val="000000"/>
                <w:kern w:val="0"/>
                <w:sz w:val="24"/>
              </w:rPr>
              <w:t>22.27%</w:t>
            </w:r>
          </w:p>
        </w:tc>
        <w:tc>
          <w:tcPr>
            <w:tcW w:w="2389" w:type="dxa"/>
            <w:shd w:val="clear" w:color="auto" w:fill="auto"/>
            <w:noWrap/>
            <w:vAlign w:val="center"/>
          </w:tcPr>
          <w:p>
            <w:pPr>
              <w:widowControl/>
              <w:jc w:val="center"/>
              <w:rPr>
                <w:rFonts w:ascii="仿宋" w:hAnsi="仿宋" w:eastAsia="仿宋" w:cs="宋体"/>
                <w:kern w:val="0"/>
                <w:sz w:val="24"/>
              </w:rPr>
            </w:pPr>
            <w:r>
              <w:rPr>
                <w:rFonts w:ascii="仿宋" w:hAnsi="仿宋" w:eastAsia="仿宋" w:cs="宋体"/>
                <w:kern w:val="0"/>
                <w:sz w:val="24"/>
              </w:rPr>
              <w:t>3.14%</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1162" w:type="dxa"/>
            <w:shd w:val="clear" w:color="auto" w:fill="auto"/>
            <w:vAlign w:val="center"/>
          </w:tcPr>
          <w:p>
            <w:pPr>
              <w:widowControl/>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1317" w:type="dxa"/>
            <w:gridSpan w:val="5"/>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合计</w:t>
            </w:r>
          </w:p>
        </w:tc>
        <w:tc>
          <w:tcPr>
            <w:tcW w:w="1077" w:type="dxa"/>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100</w:t>
            </w:r>
          </w:p>
        </w:tc>
        <w:tc>
          <w:tcPr>
            <w:tcW w:w="1162" w:type="dxa"/>
            <w:shd w:val="clear" w:color="auto" w:fill="auto"/>
            <w:vAlign w:val="center"/>
          </w:tcPr>
          <w:p>
            <w:pPr>
              <w:widowControl/>
              <w:jc w:val="center"/>
              <w:rPr>
                <w:rFonts w:hint="default" w:ascii="仿宋" w:hAnsi="仿宋" w:eastAsia="仿宋" w:cs="宋体"/>
                <w:color w:val="000000"/>
                <w:kern w:val="0"/>
                <w:sz w:val="24"/>
                <w:lang w:val="en-US"/>
              </w:rPr>
            </w:pPr>
            <w:r>
              <w:rPr>
                <w:rFonts w:ascii="仿宋" w:hAnsi="仿宋" w:eastAsia="仿宋" w:cs="宋体"/>
                <w:color w:val="000000"/>
                <w:kern w:val="0"/>
                <w:sz w:val="24"/>
              </w:rPr>
              <w:t>9</w:t>
            </w:r>
            <w:r>
              <w:rPr>
                <w:rFonts w:hint="eastAsia" w:ascii="仿宋" w:hAnsi="仿宋" w:eastAsia="仿宋" w:cs="宋体"/>
                <w:color w:val="000000"/>
                <w:kern w:val="0"/>
                <w:sz w:val="24"/>
                <w:lang w:val="en-US" w:eastAsia="zh-CN"/>
              </w:rPr>
              <w:t>1.63</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mOTJhODU4MWI5ZTNkOWY3NDE4MDI3ODVjMjQzMjAifQ=="/>
  </w:docVars>
  <w:rsids>
    <w:rsidRoot w:val="00FB7F55"/>
    <w:rsid w:val="00020702"/>
    <w:rsid w:val="00040FCC"/>
    <w:rsid w:val="00065B5B"/>
    <w:rsid w:val="00182437"/>
    <w:rsid w:val="002668D2"/>
    <w:rsid w:val="002F41EC"/>
    <w:rsid w:val="00323103"/>
    <w:rsid w:val="00396F11"/>
    <w:rsid w:val="003D44E7"/>
    <w:rsid w:val="004005C1"/>
    <w:rsid w:val="00467570"/>
    <w:rsid w:val="004765A9"/>
    <w:rsid w:val="00517201"/>
    <w:rsid w:val="005370D1"/>
    <w:rsid w:val="00653442"/>
    <w:rsid w:val="00657A89"/>
    <w:rsid w:val="006D6B0B"/>
    <w:rsid w:val="00877F76"/>
    <w:rsid w:val="008F24BE"/>
    <w:rsid w:val="00956AB6"/>
    <w:rsid w:val="009B17ED"/>
    <w:rsid w:val="009C3F2D"/>
    <w:rsid w:val="00A73AE3"/>
    <w:rsid w:val="00BA0FCD"/>
    <w:rsid w:val="00BE20D1"/>
    <w:rsid w:val="00C32E15"/>
    <w:rsid w:val="00C62081"/>
    <w:rsid w:val="00C92CBB"/>
    <w:rsid w:val="00DB3C49"/>
    <w:rsid w:val="00E60223"/>
    <w:rsid w:val="00F31928"/>
    <w:rsid w:val="00F46675"/>
    <w:rsid w:val="00FB7F55"/>
    <w:rsid w:val="00FF6263"/>
    <w:rsid w:val="21A004E3"/>
    <w:rsid w:val="301214F1"/>
    <w:rsid w:val="48562D80"/>
    <w:rsid w:val="4EA33D41"/>
    <w:rsid w:val="5B0608DF"/>
    <w:rsid w:val="764C57D1"/>
    <w:rsid w:val="787D3F5C"/>
    <w:rsid w:val="7C322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tabs>
        <w:tab w:val="center" w:pos="4153"/>
        <w:tab w:val="right" w:pos="8306"/>
      </w:tabs>
      <w:snapToGrid w:val="0"/>
      <w:jc w:val="center"/>
    </w:pPr>
    <w:rPr>
      <w:sz w:val="18"/>
      <w:szCs w:val="18"/>
    </w:rPr>
  </w:style>
  <w:style w:type="paragraph" w:styleId="5">
    <w:name w:val="annotation subject"/>
    <w:basedOn w:val="2"/>
    <w:next w:val="2"/>
    <w:link w:val="12"/>
    <w:semiHidden/>
    <w:unhideWhenUsed/>
    <w:qFormat/>
    <w:uiPriority w:val="99"/>
    <w:rPr>
      <w:b/>
      <w:bCs/>
    </w:rPr>
  </w:style>
  <w:style w:type="character" w:styleId="8">
    <w:name w:val="annotation reference"/>
    <w:basedOn w:val="7"/>
    <w:semiHidden/>
    <w:unhideWhenUsed/>
    <w:qFormat/>
    <w:uiPriority w:val="99"/>
    <w:rPr>
      <w:sz w:val="21"/>
      <w:szCs w:val="21"/>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文字 字符"/>
    <w:basedOn w:val="7"/>
    <w:link w:val="2"/>
    <w:semiHidden/>
    <w:qFormat/>
    <w:uiPriority w:val="99"/>
  </w:style>
  <w:style w:type="character" w:customStyle="1" w:styleId="12">
    <w:name w:val="批注主题 字符"/>
    <w:basedOn w:val="11"/>
    <w:link w:val="5"/>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2D4DF-8970-4196-BD55-FCDA36097C94}">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3574</Words>
  <Characters>3834</Characters>
  <Lines>30</Lines>
  <Paragraphs>8</Paragraphs>
  <TotalTime>0</TotalTime>
  <ScaleCrop>false</ScaleCrop>
  <LinksUpToDate>false</LinksUpToDate>
  <CharactersWithSpaces>3921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2023-05-17T05:42:00Z</dcterms:created>
  <dc:creator>姚道辉</dc:creator>
  <cp:lastModifiedBy>longforever</cp:lastModifiedBy>
  <dcterms:modified xsi:type="dcterms:W3CDTF">2023-08-25T06:26:31Z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F6ECBF74A1B444478739DD46E710B0C0</vt:lpwstr>
  </property>
</Properties>
</file>