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drawings/drawing1.xml" ContentType="application/vnd.openxmlformats-officedocument.drawingml.chartshapes+xml"/>
  <Override PartName="/word/drawings/drawing2.xml" ContentType="application/vnd.openxmlformats-officedocument.drawingml.chartshap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7C7E3">
      <w:pPr>
        <w:jc w:val="center"/>
        <w:rPr>
          <w:rFonts w:hint="eastAsia" w:ascii="仿宋_GB2312" w:eastAsia="仿宋_GB2312"/>
          <w:b/>
          <w:sz w:val="32"/>
          <w:szCs w:val="32"/>
        </w:rPr>
      </w:pPr>
    </w:p>
    <w:p w14:paraId="6E13FA2F">
      <w:pPr>
        <w:jc w:val="center"/>
        <w:rPr>
          <w:rFonts w:ascii="黑体" w:eastAsia="黑体"/>
          <w:sz w:val="72"/>
          <w:szCs w:val="72"/>
        </w:rPr>
      </w:pPr>
    </w:p>
    <w:p w14:paraId="17D775CF">
      <w:pPr>
        <w:jc w:val="center"/>
        <w:rPr>
          <w:rFonts w:ascii="黑体" w:eastAsia="黑体"/>
          <w:sz w:val="72"/>
          <w:szCs w:val="72"/>
        </w:rPr>
      </w:pPr>
    </w:p>
    <w:p w14:paraId="1F571498">
      <w:pPr>
        <w:jc w:val="center"/>
        <w:rPr>
          <w:rFonts w:ascii="黑体" w:eastAsia="黑体"/>
          <w:sz w:val="72"/>
          <w:szCs w:val="72"/>
        </w:rPr>
      </w:pPr>
    </w:p>
    <w:p w14:paraId="0F8F6A05">
      <w:pPr>
        <w:jc w:val="center"/>
        <w:rPr>
          <w:rFonts w:ascii="黑体" w:eastAsia="黑体"/>
          <w:sz w:val="72"/>
          <w:szCs w:val="72"/>
        </w:rPr>
      </w:pPr>
      <w:r>
        <w:rPr>
          <w:rFonts w:hint="eastAsia" w:ascii="黑体" w:eastAsia="黑体"/>
          <w:sz w:val="72"/>
          <w:szCs w:val="72"/>
        </w:rPr>
        <w:t>北京市民族团结进步促进中心</w:t>
      </w:r>
    </w:p>
    <w:p w14:paraId="2B26FA65">
      <w:pPr>
        <w:jc w:val="center"/>
        <w:rPr>
          <w:rFonts w:ascii="黑体" w:eastAsia="黑体"/>
          <w:sz w:val="72"/>
          <w:szCs w:val="72"/>
        </w:rPr>
      </w:pPr>
      <w:r>
        <w:rPr>
          <w:rFonts w:hint="eastAsia" w:ascii="黑体" w:eastAsia="黑体"/>
          <w:sz w:val="72"/>
          <w:szCs w:val="72"/>
        </w:rPr>
        <w:t>2024年度部门决算（公开</w:t>
      </w:r>
      <w:r>
        <w:rPr>
          <w:rFonts w:ascii="黑体" w:eastAsia="黑体"/>
          <w:sz w:val="72"/>
          <w:szCs w:val="72"/>
        </w:rPr>
        <w:t>）</w:t>
      </w:r>
    </w:p>
    <w:p w14:paraId="5FD677F0">
      <w:pPr>
        <w:jc w:val="center"/>
        <w:rPr>
          <w:rFonts w:ascii="黑体" w:eastAsia="黑体"/>
          <w:sz w:val="52"/>
          <w:szCs w:val="52"/>
        </w:rPr>
      </w:pPr>
    </w:p>
    <w:p w14:paraId="7A638F2D">
      <w:pPr>
        <w:jc w:val="center"/>
        <w:rPr>
          <w:rFonts w:ascii="黑体" w:eastAsia="黑体"/>
          <w:sz w:val="52"/>
          <w:szCs w:val="52"/>
        </w:rPr>
      </w:pPr>
    </w:p>
    <w:p w14:paraId="031BE653">
      <w:pPr>
        <w:jc w:val="center"/>
        <w:rPr>
          <w:rFonts w:ascii="黑体" w:eastAsia="黑体"/>
          <w:sz w:val="52"/>
          <w:szCs w:val="52"/>
        </w:rPr>
      </w:pPr>
    </w:p>
    <w:p w14:paraId="349EE871">
      <w:pPr>
        <w:jc w:val="center"/>
        <w:rPr>
          <w:rFonts w:ascii="黑体" w:eastAsia="黑体"/>
          <w:sz w:val="52"/>
          <w:szCs w:val="52"/>
        </w:rPr>
      </w:pPr>
    </w:p>
    <w:p w14:paraId="560DBEEE">
      <w:pPr>
        <w:jc w:val="center"/>
        <w:rPr>
          <w:rFonts w:ascii="黑体" w:eastAsia="黑体"/>
          <w:sz w:val="32"/>
          <w:szCs w:val="32"/>
        </w:rPr>
      </w:pPr>
    </w:p>
    <w:p w14:paraId="6903793E">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6BBB20AD">
      <w:pPr>
        <w:spacing w:line="500" w:lineRule="exact"/>
        <w:ind w:firstLine="645"/>
        <w:jc w:val="center"/>
        <w:rPr>
          <w:rFonts w:ascii="宋体" w:hAnsi="宋体" w:cs="宋体"/>
          <w:b/>
          <w:bCs/>
          <w:kern w:val="0"/>
          <w:sz w:val="36"/>
          <w:szCs w:val="36"/>
        </w:rPr>
      </w:pPr>
    </w:p>
    <w:p w14:paraId="00F75104">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第一部分 2024年度部门决算报表</w:t>
      </w:r>
    </w:p>
    <w:p w14:paraId="0C236928">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6F3C390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67B5F71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0E9EDC2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7471386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24A0892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47F57D6C">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4EAA8FC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322374F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九、国有资本经营预算财政拨款支出决算表</w:t>
      </w:r>
    </w:p>
    <w:p w14:paraId="42232F5C">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7078634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6D15048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十二、政府购买服务决算公开情况表</w:t>
      </w:r>
    </w:p>
    <w:p w14:paraId="2A63126E">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2024年度部门决算说明</w:t>
      </w:r>
    </w:p>
    <w:p w14:paraId="56C598CC">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2024年度</w:t>
      </w:r>
      <w:r>
        <w:rPr>
          <w:rFonts w:hint="eastAsia" w:ascii="宋体" w:hAnsi="宋体" w:cs="宋体"/>
          <w:spacing w:val="40"/>
          <w:kern w:val="0"/>
          <w:sz w:val="32"/>
          <w:szCs w:val="32"/>
        </w:rPr>
        <w:t>其他重要事项的情况说明</w:t>
      </w:r>
    </w:p>
    <w:p w14:paraId="1A1B8081">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2024年度部门绩效评价情况</w:t>
      </w:r>
    </w:p>
    <w:p w14:paraId="51DDB3D9">
      <w:pPr>
        <w:tabs>
          <w:tab w:val="center" w:pos="6979"/>
        </w:tabs>
        <w:spacing w:before="156" w:beforeLines="50" w:after="156" w:afterLines="50"/>
        <w:jc w:val="center"/>
        <w:rPr>
          <w:rFonts w:ascii="宋体" w:hAnsi="宋体" w:cs="宋体"/>
          <w:b/>
          <w:bCs/>
          <w:spacing w:val="40"/>
          <w:kern w:val="0"/>
          <w:sz w:val="32"/>
          <w:szCs w:val="32"/>
        </w:rPr>
      </w:pPr>
    </w:p>
    <w:p w14:paraId="310093FB">
      <w:pPr>
        <w:tabs>
          <w:tab w:val="center" w:pos="6979"/>
        </w:tabs>
        <w:spacing w:before="156" w:beforeLines="50" w:after="156" w:afterLines="50"/>
        <w:jc w:val="center"/>
        <w:rPr>
          <w:rFonts w:ascii="宋体" w:hAnsi="宋体" w:cs="宋体"/>
          <w:b/>
          <w:bCs/>
          <w:spacing w:val="40"/>
          <w:kern w:val="0"/>
          <w:sz w:val="32"/>
          <w:szCs w:val="32"/>
        </w:rPr>
      </w:pPr>
    </w:p>
    <w:p w14:paraId="14895371">
      <w:pPr>
        <w:tabs>
          <w:tab w:val="center" w:pos="6979"/>
        </w:tabs>
        <w:spacing w:before="156" w:beforeLines="50" w:after="156" w:afterLines="50"/>
        <w:jc w:val="center"/>
        <w:rPr>
          <w:rFonts w:ascii="宋体" w:hAnsi="宋体" w:cs="宋体"/>
          <w:b/>
          <w:bCs/>
          <w:spacing w:val="40"/>
          <w:kern w:val="0"/>
          <w:sz w:val="32"/>
          <w:szCs w:val="32"/>
        </w:rPr>
      </w:pPr>
    </w:p>
    <w:p w14:paraId="2FC1A7B6">
      <w:pPr>
        <w:tabs>
          <w:tab w:val="center" w:pos="6979"/>
        </w:tabs>
        <w:spacing w:before="156" w:beforeLines="50" w:after="156" w:afterLines="50"/>
        <w:jc w:val="center"/>
        <w:rPr>
          <w:rFonts w:ascii="宋体" w:hAnsi="宋体" w:cs="宋体"/>
          <w:b/>
          <w:bCs/>
          <w:spacing w:val="40"/>
          <w:kern w:val="0"/>
          <w:sz w:val="32"/>
          <w:szCs w:val="32"/>
        </w:rPr>
      </w:pPr>
    </w:p>
    <w:p w14:paraId="29297CFA">
      <w:pPr>
        <w:tabs>
          <w:tab w:val="center" w:pos="6979"/>
        </w:tabs>
        <w:spacing w:before="156" w:beforeLines="50" w:after="156" w:afterLines="50"/>
        <w:jc w:val="center"/>
        <w:rPr>
          <w:rFonts w:ascii="宋体" w:hAnsi="宋体" w:cs="宋体"/>
          <w:b/>
          <w:bCs/>
          <w:spacing w:val="40"/>
          <w:kern w:val="0"/>
          <w:sz w:val="32"/>
          <w:szCs w:val="32"/>
        </w:rPr>
      </w:pPr>
    </w:p>
    <w:p w14:paraId="4D60E4CA">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第一部分 2024年度部门决算报表</w:t>
      </w:r>
    </w:p>
    <w:p w14:paraId="5BBBC942">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76DDC85D">
      <w:pPr>
        <w:tabs>
          <w:tab w:val="center" w:pos="6979"/>
        </w:tabs>
        <w:spacing w:before="156" w:beforeLines="50" w:after="156"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2024年度部门决算说明</w:t>
      </w:r>
    </w:p>
    <w:p w14:paraId="4893D918">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一、单位基本情况</w:t>
      </w:r>
    </w:p>
    <w:p w14:paraId="4AF1A178">
      <w:pPr>
        <w:tabs>
          <w:tab w:val="center" w:pos="6979"/>
        </w:tabs>
        <w:spacing w:line="580" w:lineRule="exact"/>
        <w:ind w:firstLine="700" w:firstLineChars="250"/>
        <w:rPr>
          <w:rFonts w:hint="eastAsia" w:ascii="仿宋_GB2312" w:eastAsia="仿宋_GB2312"/>
          <w:sz w:val="28"/>
          <w:szCs w:val="28"/>
        </w:rPr>
      </w:pPr>
      <w:r>
        <w:rPr>
          <w:rFonts w:hint="eastAsia" w:ascii="仿宋_GB2312" w:eastAsia="仿宋_GB2312"/>
          <w:sz w:val="28"/>
          <w:szCs w:val="28"/>
        </w:rPr>
        <w:t>根据中共北京市委机构编制委员会印发《关于市民族宗教委所属事业单位改革有关事项的批复》（京编委[2021]35号）文件，北京市民族文化交流中心、北京市民委接待服务中心、北京市民族古籍整理出版规划小组办公室、北京市民族联谊会秘书处组建北京市民族团结进步促进中心（北京市铸牢中华民族共同体意识研究中心）。</w:t>
      </w:r>
    </w:p>
    <w:p w14:paraId="6AF2E559">
      <w:pPr>
        <w:tabs>
          <w:tab w:val="center" w:pos="6979"/>
        </w:tabs>
        <w:spacing w:line="580" w:lineRule="exact"/>
        <w:ind w:firstLine="700" w:firstLineChars="250"/>
        <w:rPr>
          <w:rFonts w:hint="eastAsia" w:ascii="仿宋_GB2312" w:eastAsia="仿宋_GB2312"/>
          <w:sz w:val="28"/>
          <w:szCs w:val="28"/>
        </w:rPr>
      </w:pPr>
      <w:r>
        <w:rPr>
          <w:rFonts w:hint="eastAsia" w:ascii="仿宋_GB2312" w:eastAsia="仿宋_GB2312"/>
          <w:sz w:val="28"/>
          <w:szCs w:val="28"/>
        </w:rPr>
        <w:t>北京市民族团结进步促进中心为北京市民族宗教事务委员会下属的事业单位，内设办公室、党群（纪检）部、铸牢研究室、古籍史志部、创建促进（联谊）部、三交教育部、融媒体宣传部、民族文艺部、民族体育部、会展部、网络信息部、人事部、财务部、资产管理部及安全后勤保障部十五个部门。</w:t>
      </w:r>
    </w:p>
    <w:p w14:paraId="6380325D">
      <w:pPr>
        <w:tabs>
          <w:tab w:val="center" w:pos="6979"/>
        </w:tabs>
        <w:spacing w:line="580" w:lineRule="exact"/>
        <w:ind w:firstLine="700" w:firstLineChars="250"/>
        <w:rPr>
          <w:rFonts w:ascii="仿宋_GB2312" w:eastAsia="仿宋_GB2312"/>
          <w:sz w:val="28"/>
          <w:szCs w:val="28"/>
        </w:rPr>
      </w:pPr>
      <w:r>
        <w:rPr>
          <w:rFonts w:hint="eastAsia" w:ascii="仿宋_GB2312" w:eastAsia="仿宋_GB2312"/>
          <w:sz w:val="28"/>
          <w:szCs w:val="28"/>
        </w:rPr>
        <w:t>主要职责为：开展党的民族理论研究、宣传教育，开展民族文化、体育交流活动；联系服务首都各民族代表人士，开展联谊交流和公益性社会活动；承担少数民族宗教古籍整理相关工作；承担本系统信息安全、网络应用、国有资产管理等具体工作。</w:t>
      </w:r>
    </w:p>
    <w:p w14:paraId="3E6778F9">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1DAFED78">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5933.72</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1598.25万元，增长36.86%。</w:t>
      </w:r>
    </w:p>
    <w:p w14:paraId="13D52294">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64A3C711">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2024年度本年收入合计</w:t>
      </w:r>
      <w:r>
        <w:rPr>
          <w:rFonts w:ascii="仿宋_GB2312" w:eastAsia="仿宋_GB2312"/>
          <w:sz w:val="28"/>
          <w:szCs w:val="28"/>
        </w:rPr>
        <w:t>5250.24</w:t>
      </w:r>
      <w:r>
        <w:rPr>
          <w:rFonts w:hint="eastAsia" w:ascii="仿宋_GB2312" w:eastAsia="仿宋_GB2312"/>
          <w:sz w:val="28"/>
          <w:szCs w:val="28"/>
        </w:rPr>
        <w:t>万元，比上年增加1742.67万元，增长49.68%。</w:t>
      </w:r>
    </w:p>
    <w:p w14:paraId="6DF1F7E4">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1.财政拨款收入</w:t>
      </w:r>
      <w:r>
        <w:rPr>
          <w:rFonts w:ascii="仿宋_GB2312" w:eastAsia="仿宋_GB2312"/>
          <w:sz w:val="28"/>
          <w:szCs w:val="28"/>
        </w:rPr>
        <w:t>5185.12</w:t>
      </w:r>
      <w:r>
        <w:rPr>
          <w:rFonts w:hint="eastAsia" w:ascii="仿宋_GB2312" w:eastAsia="仿宋_GB2312"/>
          <w:sz w:val="28"/>
          <w:szCs w:val="28"/>
        </w:rPr>
        <w:t>万元，占收入合计的98.76%。其中：一般公共预算财政拨款收入</w:t>
      </w:r>
      <w:r>
        <w:rPr>
          <w:rFonts w:ascii="仿宋_GB2312" w:eastAsia="仿宋_GB2312"/>
          <w:sz w:val="28"/>
          <w:szCs w:val="28"/>
        </w:rPr>
        <w:t>5185.12</w:t>
      </w:r>
      <w:r>
        <w:rPr>
          <w:rFonts w:hint="eastAsia" w:ascii="仿宋_GB2312" w:eastAsia="仿宋_GB2312"/>
          <w:sz w:val="28"/>
          <w:szCs w:val="28"/>
        </w:rPr>
        <w:t>万元，占收入合计的98.76%；政府性基金预算财政拨款收入</w:t>
      </w:r>
      <w:r>
        <w:rPr>
          <w:rFonts w:ascii="仿宋_GB2312" w:eastAsia="仿宋_GB2312"/>
          <w:sz w:val="28"/>
          <w:szCs w:val="28"/>
        </w:rPr>
        <w:t>0</w:t>
      </w:r>
      <w:r>
        <w:rPr>
          <w:rFonts w:hint="eastAsia" w:ascii="仿宋_GB2312" w:eastAsia="仿宋_GB2312"/>
          <w:sz w:val="28"/>
          <w:szCs w:val="28"/>
        </w:rPr>
        <w:t>万元，占收入合计的0%；国有资本经营预算财政拨款收入</w:t>
      </w:r>
      <w:r>
        <w:rPr>
          <w:rFonts w:ascii="仿宋_GB2312" w:eastAsia="仿宋_GB2312"/>
          <w:sz w:val="28"/>
          <w:szCs w:val="28"/>
        </w:rPr>
        <w:t>0</w:t>
      </w:r>
      <w:r>
        <w:rPr>
          <w:rFonts w:hint="eastAsia" w:ascii="仿宋_GB2312" w:eastAsia="仿宋_GB2312"/>
          <w:sz w:val="28"/>
          <w:szCs w:val="28"/>
        </w:rPr>
        <w:t>万元，占收入合计的0%；</w:t>
      </w:r>
    </w:p>
    <w:p w14:paraId="67D17DE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万元，占收入合计的0%；</w:t>
      </w:r>
    </w:p>
    <w:p w14:paraId="26243F6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55.36</w:t>
      </w:r>
      <w:r>
        <w:rPr>
          <w:rFonts w:hint="eastAsia" w:ascii="仿宋_GB2312" w:eastAsia="仿宋_GB2312"/>
          <w:sz w:val="28"/>
          <w:szCs w:val="28"/>
        </w:rPr>
        <w:t>万元，占收入合计的1.05%；</w:t>
      </w:r>
    </w:p>
    <w:p w14:paraId="11CC88B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万元，占收入合计的0%；</w:t>
      </w:r>
    </w:p>
    <w:p w14:paraId="01013F61">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万元，占收入合计的0%；</w:t>
      </w:r>
    </w:p>
    <w:p w14:paraId="27C3D637">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9.76</w:t>
      </w:r>
      <w:r>
        <w:rPr>
          <w:rFonts w:hint="eastAsia" w:ascii="仿宋_GB2312" w:eastAsia="仿宋_GB2312"/>
          <w:sz w:val="28"/>
          <w:szCs w:val="28"/>
        </w:rPr>
        <w:t>万元，占收入合计的0.19%。</w:t>
      </w:r>
    </w:p>
    <w:p w14:paraId="7856F168">
      <w:pPr>
        <w:pStyle w:val="2"/>
        <w:jc w:val="center"/>
        <w:rPr>
          <w:rFonts w:hint="eastAsia" w:eastAsia="仿宋_GB2312"/>
          <w:lang w:val="en-US" w:eastAsia="zh-CN"/>
        </w:rPr>
      </w:pPr>
      <w:r>
        <w:rPr>
          <w:rFonts w:hint="eastAsia" w:ascii="仿宋_GB2312" w:eastAsia="仿宋_GB2312"/>
          <w:color w:val="000000"/>
          <w:sz w:val="32"/>
        </w:rPr>
        <w:t>图1：收入</w:t>
      </w:r>
      <w:r>
        <w:rPr>
          <w:rFonts w:hint="eastAsia" w:ascii="仿宋_GB2312" w:eastAsia="仿宋_GB2312"/>
          <w:color w:val="000000"/>
          <w:sz w:val="32"/>
          <w:lang w:eastAsia="zh-CN"/>
        </w:rPr>
        <w:t>决算</w:t>
      </w:r>
    </w:p>
    <w:p w14:paraId="6F2D0E34">
      <w:pPr>
        <w:tabs>
          <w:tab w:val="center" w:pos="6979"/>
        </w:tabs>
        <w:spacing w:line="580" w:lineRule="exact"/>
        <w:ind w:firstLine="570"/>
        <w:rPr>
          <w:rFonts w:hint="eastAsia" w:ascii="仿宋_GB2312" w:eastAsia="仿宋_GB2312"/>
          <w:sz w:val="28"/>
          <w:szCs w:val="28"/>
        </w:rPr>
      </w:pPr>
    </w:p>
    <w:p w14:paraId="7A50137D">
      <w:pPr>
        <w:pStyle w:val="2"/>
        <w:rPr>
          <w:rFonts w:hint="eastAsia" w:ascii="仿宋_GB2312" w:eastAsia="仿宋_GB2312"/>
          <w:sz w:val="28"/>
          <w:szCs w:val="28"/>
        </w:rPr>
      </w:pPr>
      <w:r>
        <w:drawing>
          <wp:anchor distT="0" distB="0" distL="114300" distR="114300" simplePos="0" relativeHeight="251659264" behindDoc="0" locked="0" layoutInCell="1" allowOverlap="1">
            <wp:simplePos x="0" y="0"/>
            <wp:positionH relativeFrom="column">
              <wp:posOffset>2221230</wp:posOffset>
            </wp:positionH>
            <wp:positionV relativeFrom="paragraph">
              <wp:posOffset>-327660</wp:posOffset>
            </wp:positionV>
            <wp:extent cx="4336415" cy="2252345"/>
            <wp:effectExtent l="4445" t="4445" r="17780" b="13970"/>
            <wp:wrapSquare wrapText="bothSides"/>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2E862813">
      <w:pPr>
        <w:rPr>
          <w:rFonts w:hint="eastAsia" w:ascii="仿宋_GB2312" w:eastAsia="仿宋_GB2312"/>
          <w:sz w:val="28"/>
          <w:szCs w:val="28"/>
        </w:rPr>
      </w:pPr>
    </w:p>
    <w:p w14:paraId="71FE7655">
      <w:pPr>
        <w:pStyle w:val="2"/>
        <w:rPr>
          <w:rFonts w:hint="eastAsia" w:ascii="仿宋_GB2312" w:eastAsia="仿宋_GB2312"/>
          <w:sz w:val="28"/>
          <w:szCs w:val="28"/>
        </w:rPr>
      </w:pPr>
    </w:p>
    <w:p w14:paraId="400EFF64">
      <w:pPr>
        <w:rPr>
          <w:rFonts w:hint="eastAsia"/>
        </w:rPr>
      </w:pPr>
    </w:p>
    <w:p w14:paraId="754003A9">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38D01ADF">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2024年度本年支出合计</w:t>
      </w:r>
      <w:r>
        <w:rPr>
          <w:rFonts w:ascii="仿宋_GB2312" w:eastAsia="仿宋_GB2312"/>
          <w:sz w:val="28"/>
          <w:szCs w:val="28"/>
        </w:rPr>
        <w:t>4537.69</w:t>
      </w:r>
      <w:r>
        <w:rPr>
          <w:rFonts w:hint="eastAsia" w:ascii="仿宋_GB2312" w:eastAsia="仿宋_GB2312"/>
          <w:sz w:val="28"/>
          <w:szCs w:val="28"/>
        </w:rPr>
        <w:t>万元，</w:t>
      </w:r>
      <w:r>
        <w:rPr>
          <w:rFonts w:ascii="仿宋_GB2312" w:eastAsia="仿宋_GB2312"/>
          <w:sz w:val="28"/>
          <w:szCs w:val="28"/>
        </w:rPr>
        <w:t>比上年增</w:t>
      </w:r>
      <w:r>
        <w:rPr>
          <w:rFonts w:hint="eastAsia" w:ascii="仿宋_GB2312" w:eastAsia="仿宋_GB2312"/>
          <w:sz w:val="28"/>
          <w:szCs w:val="28"/>
        </w:rPr>
        <w:t>加891.17万元，增长24.44%，其中：基本支出</w:t>
      </w:r>
      <w:r>
        <w:rPr>
          <w:rFonts w:ascii="仿宋_GB2312" w:eastAsia="仿宋_GB2312"/>
          <w:sz w:val="28"/>
          <w:szCs w:val="28"/>
        </w:rPr>
        <w:t>3282.84</w:t>
      </w:r>
      <w:r>
        <w:rPr>
          <w:rFonts w:hint="eastAsia" w:ascii="仿宋_GB2312" w:eastAsia="仿宋_GB2312"/>
          <w:sz w:val="28"/>
          <w:szCs w:val="28"/>
        </w:rPr>
        <w:t>万元，占支出合计的72.35%；项目支出</w:t>
      </w:r>
      <w:r>
        <w:rPr>
          <w:rFonts w:ascii="仿宋_GB2312" w:eastAsia="仿宋_GB2312"/>
          <w:sz w:val="28"/>
          <w:szCs w:val="28"/>
        </w:rPr>
        <w:t>1254.85</w:t>
      </w:r>
      <w:r>
        <w:rPr>
          <w:rFonts w:hint="eastAsia" w:ascii="仿宋_GB2312" w:eastAsia="仿宋_GB2312"/>
          <w:sz w:val="28"/>
          <w:szCs w:val="28"/>
        </w:rPr>
        <w:t>万元，占支出合计的27.65%;上缴上级支出</w:t>
      </w:r>
      <w:r>
        <w:rPr>
          <w:rFonts w:ascii="仿宋_GB2312" w:eastAsia="仿宋_GB2312"/>
          <w:sz w:val="28"/>
          <w:szCs w:val="28"/>
        </w:rPr>
        <w:t>0</w:t>
      </w:r>
      <w:r>
        <w:rPr>
          <w:rFonts w:hint="eastAsia" w:ascii="仿宋_GB2312" w:eastAsia="仿宋_GB2312"/>
          <w:sz w:val="28"/>
          <w:szCs w:val="28"/>
        </w:rPr>
        <w:t>万元，占支出合计的0%；经营支出</w:t>
      </w:r>
      <w:r>
        <w:rPr>
          <w:rFonts w:ascii="仿宋_GB2312" w:eastAsia="仿宋_GB2312"/>
          <w:sz w:val="28"/>
          <w:szCs w:val="28"/>
        </w:rPr>
        <w:t>0</w:t>
      </w:r>
      <w:r>
        <w:rPr>
          <w:rFonts w:hint="eastAsia" w:ascii="仿宋_GB2312" w:eastAsia="仿宋_GB2312"/>
          <w:sz w:val="28"/>
          <w:szCs w:val="28"/>
        </w:rPr>
        <w:t>万元，占支出合计的0%；对附属单位补助支出</w:t>
      </w:r>
      <w:r>
        <w:rPr>
          <w:rFonts w:ascii="仿宋_GB2312" w:eastAsia="仿宋_GB2312"/>
          <w:sz w:val="28"/>
          <w:szCs w:val="28"/>
        </w:rPr>
        <w:t>0</w:t>
      </w:r>
      <w:r>
        <w:rPr>
          <w:rFonts w:hint="eastAsia" w:ascii="仿宋_GB2312" w:eastAsia="仿宋_GB2312"/>
          <w:sz w:val="28"/>
          <w:szCs w:val="28"/>
        </w:rPr>
        <w:t>万元，占支出合计的0%。</w:t>
      </w:r>
    </w:p>
    <w:p w14:paraId="66A2F986">
      <w:pPr>
        <w:pStyle w:val="2"/>
        <w:ind w:firstLine="642"/>
        <w:jc w:val="center"/>
        <w:rPr>
          <w:rFonts w:hint="eastAsia" w:ascii="仿宋_GB2312" w:eastAsia="仿宋_GB2312"/>
          <w:color w:val="000000"/>
          <w:sz w:val="32"/>
        </w:rPr>
      </w:pPr>
      <w:r>
        <w:rPr>
          <w:rFonts w:hint="eastAsia" w:ascii="仿宋_GB2312" w:eastAsia="仿宋_GB2312"/>
          <w:color w:val="000000"/>
          <w:sz w:val="32"/>
        </w:rPr>
        <w:t>图2：基本支出和项目支出情况</w:t>
      </w:r>
    </w:p>
    <w:p w14:paraId="5609D180">
      <w:pPr>
        <w:pStyle w:val="2"/>
        <w:jc w:val="center"/>
        <w:rPr>
          <w:rFonts w:hint="eastAsia" w:ascii="仿宋_GB2312" w:eastAsia="仿宋_GB2312"/>
          <w:color w:val="000000"/>
          <w:sz w:val="32"/>
        </w:rPr>
      </w:pPr>
      <w:r>
        <w:drawing>
          <wp:inline distT="0" distB="0" distL="114300" distR="114300">
            <wp:extent cx="3930015" cy="2456180"/>
            <wp:effectExtent l="4445" t="4445" r="12700" b="8255"/>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2047FDC">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069F5BC6">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5185.12</w:t>
      </w:r>
      <w:r>
        <w:rPr>
          <w:rFonts w:hint="eastAsia" w:ascii="仿宋_GB2312" w:eastAsia="仿宋_GB2312"/>
          <w:sz w:val="28"/>
          <w:szCs w:val="28"/>
        </w:rPr>
        <w:t>万元，比上年增加1716.63万元，增长49.49%。主要原因：根据工作任务</w:t>
      </w:r>
      <w:r>
        <w:rPr>
          <w:rFonts w:hint="eastAsia" w:ascii="仿宋_GB2312" w:eastAsia="仿宋_GB2312"/>
          <w:sz w:val="28"/>
          <w:szCs w:val="28"/>
          <w:lang w:val="en-US" w:eastAsia="zh-CN"/>
        </w:rPr>
        <w:t>,</w:t>
      </w:r>
      <w:r>
        <w:rPr>
          <w:rFonts w:hint="eastAsia" w:ascii="仿宋_GB2312" w:eastAsia="仿宋_GB2312"/>
          <w:sz w:val="28"/>
          <w:szCs w:val="28"/>
        </w:rPr>
        <w:t>增加民促资金项目经费</w:t>
      </w:r>
      <w:r>
        <w:rPr>
          <w:rFonts w:hint="eastAsia" w:ascii="仿宋_GB2312" w:eastAsia="仿宋_GB2312"/>
          <w:sz w:val="28"/>
          <w:szCs w:val="28"/>
          <w:lang w:eastAsia="zh-CN"/>
        </w:rPr>
        <w:t>、</w:t>
      </w:r>
      <w:r>
        <w:rPr>
          <w:rFonts w:hint="eastAsia" w:ascii="仿宋_GB2312" w:eastAsia="仿宋_GB2312"/>
          <w:sz w:val="28"/>
          <w:szCs w:val="28"/>
        </w:rPr>
        <w:t>追加第十二届全国少数民族传统体育运动会北京市代表团项目经费</w:t>
      </w:r>
      <w:r>
        <w:rPr>
          <w:rFonts w:hint="eastAsia" w:ascii="仿宋_GB2312" w:eastAsia="仿宋_GB2312"/>
          <w:sz w:val="28"/>
          <w:szCs w:val="28"/>
          <w:lang w:val="en-US" w:eastAsia="zh-CN"/>
        </w:rPr>
        <w:t>,</w:t>
      </w:r>
      <w:r>
        <w:rPr>
          <w:rFonts w:hint="eastAsia" w:ascii="仿宋_GB2312" w:eastAsia="仿宋_GB2312"/>
          <w:sz w:val="28"/>
          <w:szCs w:val="28"/>
        </w:rPr>
        <w:t>导致本年度收支较上年有所增加。</w:t>
      </w:r>
    </w:p>
    <w:p w14:paraId="4D7EF738">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14:paraId="3CEE2204">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（一）一般公共预算财政拨款支出决算总体情况</w:t>
      </w:r>
    </w:p>
    <w:p w14:paraId="341FFC39">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2024年度一般公共预算财政拨款支出</w:t>
      </w:r>
      <w:r>
        <w:rPr>
          <w:rFonts w:ascii="仿宋_GB2312" w:eastAsia="仿宋_GB2312"/>
          <w:sz w:val="28"/>
          <w:szCs w:val="28"/>
        </w:rPr>
        <w:t>4425.35</w:t>
      </w:r>
      <w:r>
        <w:rPr>
          <w:rFonts w:hint="eastAsia" w:ascii="仿宋_GB2312" w:eastAsia="仿宋_GB2312"/>
          <w:sz w:val="28"/>
          <w:szCs w:val="28"/>
        </w:rPr>
        <w:t>万元，主要用于以下方面（按大类）：一般公共服务支出3906.01万元，占本年财政拨款支出的88.26%；教育支出4.73万元，占本年财政拨款支出的0.11%；社会保障和就业支出329.11万元，占本年财政拨款支出的7.44%；卫生健康支出185.50万元，占本年财政拨款支出的4.19%。</w:t>
      </w:r>
    </w:p>
    <w:p w14:paraId="6A05D6A7">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649AFEB6">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1、“一般公共服务支出”</w:t>
      </w:r>
      <w:r>
        <w:rPr>
          <w:rFonts w:hint="eastAsia" w:ascii="仿宋_GB2312" w:eastAsia="仿宋_GB2312"/>
          <w:sz w:val="28"/>
          <w:szCs w:val="28"/>
          <w:lang w:eastAsia="zh-CN"/>
        </w:rPr>
        <w:t>（</w:t>
      </w:r>
      <w:r>
        <w:rPr>
          <w:rFonts w:hint="eastAsia" w:ascii="仿宋_GB2312" w:eastAsia="仿宋_GB2312"/>
          <w:sz w:val="28"/>
          <w:szCs w:val="28"/>
        </w:rPr>
        <w:t>类</w:t>
      </w:r>
      <w:r>
        <w:rPr>
          <w:rFonts w:hint="eastAsia" w:ascii="仿宋_GB2312" w:eastAsia="仿宋_GB2312"/>
          <w:sz w:val="28"/>
          <w:szCs w:val="28"/>
          <w:lang w:eastAsia="zh-CN"/>
        </w:rPr>
        <w:t>）</w:t>
      </w:r>
      <w:r>
        <w:rPr>
          <w:rFonts w:hint="eastAsia" w:ascii="仿宋_GB2312" w:eastAsia="仿宋_GB2312"/>
          <w:sz w:val="28"/>
          <w:szCs w:val="28"/>
        </w:rPr>
        <w:t>2024年度年初预算</w:t>
      </w:r>
      <w:r>
        <w:rPr>
          <w:rFonts w:hint="eastAsia" w:ascii="仿宋_GB2312" w:eastAsia="仿宋_GB2312"/>
          <w:sz w:val="28"/>
          <w:szCs w:val="28"/>
          <w:lang w:val="en-US" w:eastAsia="zh-CN"/>
        </w:rPr>
        <w:t>3230.66</w:t>
      </w:r>
      <w:r>
        <w:rPr>
          <w:rFonts w:hint="eastAsia" w:ascii="仿宋_GB2312" w:eastAsia="仿宋_GB2312"/>
          <w:sz w:val="28"/>
          <w:szCs w:val="28"/>
        </w:rPr>
        <w:t>万元，2024年度决算3906.01万元</w:t>
      </w:r>
      <w:r>
        <w:rPr>
          <w:rFonts w:hint="eastAsia" w:ascii="仿宋_GB2312" w:eastAsia="仿宋_GB2312"/>
          <w:sz w:val="28"/>
          <w:szCs w:val="28"/>
          <w:lang w:eastAsia="zh-CN"/>
        </w:rPr>
        <w:t>，</w:t>
      </w:r>
      <w:r>
        <w:rPr>
          <w:rFonts w:hint="eastAsia" w:ascii="仿宋_GB2312" w:eastAsia="仿宋_GB2312"/>
          <w:sz w:val="28"/>
          <w:szCs w:val="28"/>
        </w:rPr>
        <w:t>完成年初预算的</w:t>
      </w:r>
      <w:r>
        <w:rPr>
          <w:rFonts w:hint="eastAsia" w:ascii="仿宋_GB2312" w:eastAsia="仿宋_GB2312"/>
          <w:sz w:val="28"/>
          <w:szCs w:val="28"/>
          <w:lang w:val="en-US" w:eastAsia="zh-CN"/>
        </w:rPr>
        <w:t>120.90</w:t>
      </w:r>
      <w:r>
        <w:rPr>
          <w:rFonts w:hint="eastAsia" w:ascii="仿宋_GB2312" w:eastAsia="仿宋_GB2312"/>
          <w:sz w:val="28"/>
          <w:szCs w:val="28"/>
        </w:rPr>
        <w:t>%。其中：</w:t>
      </w:r>
    </w:p>
    <w:p w14:paraId="0AE6CE96">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“民族事务”</w:t>
      </w:r>
      <w:r>
        <w:rPr>
          <w:rFonts w:hint="eastAsia" w:ascii="仿宋_GB2312" w:eastAsia="仿宋_GB2312"/>
          <w:sz w:val="28"/>
          <w:szCs w:val="28"/>
          <w:lang w:eastAsia="zh-CN"/>
        </w:rPr>
        <w:t>（</w:t>
      </w:r>
      <w:r>
        <w:rPr>
          <w:rFonts w:hint="eastAsia" w:ascii="仿宋_GB2312" w:eastAsia="仿宋_GB2312"/>
          <w:sz w:val="28"/>
          <w:szCs w:val="28"/>
        </w:rPr>
        <w:t>款</w:t>
      </w:r>
      <w:r>
        <w:rPr>
          <w:rFonts w:hint="eastAsia" w:ascii="仿宋_GB2312" w:eastAsia="仿宋_GB2312"/>
          <w:sz w:val="28"/>
          <w:szCs w:val="28"/>
          <w:lang w:eastAsia="zh-CN"/>
        </w:rPr>
        <w:t>）</w:t>
      </w:r>
      <w:r>
        <w:rPr>
          <w:rFonts w:hint="eastAsia" w:ascii="仿宋_GB2312" w:eastAsia="仿宋_GB2312"/>
          <w:sz w:val="28"/>
          <w:szCs w:val="28"/>
        </w:rPr>
        <w:t>2024年度年初预算</w:t>
      </w:r>
      <w:r>
        <w:rPr>
          <w:rFonts w:hint="eastAsia" w:ascii="仿宋_GB2312" w:eastAsia="仿宋_GB2312"/>
          <w:sz w:val="28"/>
          <w:szCs w:val="28"/>
          <w:lang w:val="en-US" w:eastAsia="zh-CN"/>
        </w:rPr>
        <w:t>3230.66</w:t>
      </w:r>
      <w:r>
        <w:rPr>
          <w:rFonts w:hint="eastAsia" w:ascii="仿宋_GB2312" w:eastAsia="仿宋_GB2312"/>
          <w:sz w:val="28"/>
          <w:szCs w:val="28"/>
        </w:rPr>
        <w:t>万元，2024年度决算3906.01万元，完成年初预算的</w:t>
      </w:r>
      <w:r>
        <w:rPr>
          <w:rFonts w:hint="eastAsia" w:ascii="仿宋_GB2312" w:eastAsia="仿宋_GB2312"/>
          <w:sz w:val="28"/>
          <w:szCs w:val="28"/>
          <w:lang w:val="en-US" w:eastAsia="zh-CN"/>
        </w:rPr>
        <w:t>120.90</w:t>
      </w:r>
      <w:r>
        <w:rPr>
          <w:rFonts w:hint="eastAsia" w:ascii="仿宋_GB2312" w:eastAsia="仿宋_GB2312"/>
          <w:sz w:val="28"/>
          <w:szCs w:val="28"/>
        </w:rPr>
        <w:t>%。主要原因：</w:t>
      </w:r>
      <w:r>
        <w:rPr>
          <w:rFonts w:hint="eastAsia" w:ascii="仿宋_GB2312" w:eastAsia="仿宋_GB2312"/>
          <w:sz w:val="28"/>
          <w:szCs w:val="28"/>
          <w:highlight w:val="none"/>
        </w:rPr>
        <w:t>根据工作任务追加第十二届全国少数民族传统体育运动会北京市代表团项目经费</w:t>
      </w:r>
      <w:r>
        <w:rPr>
          <w:rFonts w:hint="eastAsia" w:ascii="仿宋_GB2312" w:eastAsia="仿宋_GB2312"/>
          <w:sz w:val="28"/>
          <w:szCs w:val="28"/>
        </w:rPr>
        <w:t>。</w:t>
      </w:r>
    </w:p>
    <w:p w14:paraId="729C545E">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2、“教育支出”</w:t>
      </w:r>
      <w:r>
        <w:rPr>
          <w:rFonts w:hint="eastAsia" w:ascii="仿宋_GB2312" w:eastAsia="仿宋_GB2312"/>
          <w:sz w:val="28"/>
          <w:szCs w:val="28"/>
          <w:lang w:eastAsia="zh-CN"/>
        </w:rPr>
        <w:t>（</w:t>
      </w:r>
      <w:r>
        <w:rPr>
          <w:rFonts w:hint="eastAsia" w:ascii="仿宋_GB2312" w:eastAsia="仿宋_GB2312"/>
          <w:sz w:val="28"/>
          <w:szCs w:val="28"/>
        </w:rPr>
        <w:t>类</w:t>
      </w:r>
      <w:r>
        <w:rPr>
          <w:rFonts w:hint="eastAsia" w:ascii="仿宋_GB2312" w:eastAsia="仿宋_GB2312"/>
          <w:sz w:val="28"/>
          <w:szCs w:val="28"/>
          <w:lang w:eastAsia="zh-CN"/>
        </w:rPr>
        <w:t>）</w:t>
      </w:r>
      <w:r>
        <w:rPr>
          <w:rFonts w:hint="eastAsia" w:ascii="仿宋_GB2312" w:eastAsia="仿宋_GB2312"/>
          <w:sz w:val="28"/>
          <w:szCs w:val="28"/>
        </w:rPr>
        <w:t>2024年度年初预算4.75万元，2024年度决算4.73万元，完成年初预算的99.58%。其中：</w:t>
      </w:r>
    </w:p>
    <w:p w14:paraId="55CF459B">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“进修及培训”（款）2024年度年初预算4.75万元，2024年度决算4.73万元，完成年初预算的99.58%。主要原因：厉行勤俭节约要求，严格控制培训经费支出。</w:t>
      </w:r>
    </w:p>
    <w:p w14:paraId="480D2361">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3、“社会保障和就业支出”</w:t>
      </w:r>
      <w:r>
        <w:rPr>
          <w:rFonts w:hint="eastAsia" w:ascii="仿宋_GB2312" w:eastAsia="仿宋_GB2312"/>
          <w:sz w:val="28"/>
          <w:szCs w:val="28"/>
          <w:lang w:eastAsia="zh-CN"/>
        </w:rPr>
        <w:t>（</w:t>
      </w:r>
      <w:r>
        <w:rPr>
          <w:rFonts w:hint="eastAsia" w:ascii="仿宋_GB2312" w:eastAsia="仿宋_GB2312"/>
          <w:sz w:val="28"/>
          <w:szCs w:val="28"/>
        </w:rPr>
        <w:t>类</w:t>
      </w:r>
      <w:r>
        <w:rPr>
          <w:rFonts w:hint="eastAsia" w:ascii="仿宋_GB2312" w:eastAsia="仿宋_GB2312"/>
          <w:sz w:val="28"/>
          <w:szCs w:val="28"/>
          <w:lang w:eastAsia="zh-CN"/>
        </w:rPr>
        <w:t>）</w:t>
      </w:r>
      <w:r>
        <w:rPr>
          <w:rFonts w:hint="eastAsia" w:ascii="仿宋_GB2312" w:eastAsia="仿宋_GB2312"/>
          <w:sz w:val="28"/>
          <w:szCs w:val="28"/>
        </w:rPr>
        <w:t>2024年度年初预算335.28万元，2024年度决算329.11万元，完成年初预算的98.16%。其中：</w:t>
      </w:r>
    </w:p>
    <w:p w14:paraId="18F07620">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“行政事业单位养老支出”</w:t>
      </w:r>
      <w:r>
        <w:rPr>
          <w:rFonts w:hint="eastAsia" w:ascii="仿宋_GB2312" w:eastAsia="仿宋_GB2312"/>
          <w:sz w:val="28"/>
          <w:szCs w:val="28"/>
          <w:lang w:eastAsia="zh-CN"/>
        </w:rPr>
        <w:t>（</w:t>
      </w:r>
      <w:r>
        <w:rPr>
          <w:rFonts w:hint="eastAsia" w:ascii="仿宋_GB2312" w:eastAsia="仿宋_GB2312"/>
          <w:sz w:val="28"/>
          <w:szCs w:val="28"/>
        </w:rPr>
        <w:t>款</w:t>
      </w:r>
      <w:r>
        <w:rPr>
          <w:rFonts w:hint="eastAsia" w:ascii="仿宋_GB2312" w:eastAsia="仿宋_GB2312"/>
          <w:sz w:val="28"/>
          <w:szCs w:val="28"/>
          <w:lang w:eastAsia="zh-CN"/>
        </w:rPr>
        <w:t>）</w:t>
      </w:r>
      <w:r>
        <w:rPr>
          <w:rFonts w:hint="eastAsia" w:ascii="仿宋_GB2312" w:eastAsia="仿宋_GB2312"/>
          <w:sz w:val="28"/>
          <w:szCs w:val="28"/>
        </w:rPr>
        <w:t>2024年度年初预算335.28万元，2024年度决算329.11万元，完成年初预算的98.16%。主要原因：养老保险基数调整导致养老保险支出较年初预算有所减少。</w:t>
      </w:r>
    </w:p>
    <w:p w14:paraId="7BE9B348">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4、“卫生健康支出”</w:t>
      </w:r>
      <w:r>
        <w:rPr>
          <w:rFonts w:hint="eastAsia" w:ascii="仿宋_GB2312" w:eastAsia="仿宋_GB2312"/>
          <w:sz w:val="28"/>
          <w:szCs w:val="28"/>
          <w:lang w:eastAsia="zh-CN"/>
        </w:rPr>
        <w:t>（</w:t>
      </w:r>
      <w:r>
        <w:rPr>
          <w:rFonts w:hint="eastAsia" w:ascii="仿宋_GB2312" w:eastAsia="仿宋_GB2312"/>
          <w:sz w:val="28"/>
          <w:szCs w:val="28"/>
        </w:rPr>
        <w:t>类</w:t>
      </w:r>
      <w:r>
        <w:rPr>
          <w:rFonts w:hint="eastAsia" w:ascii="仿宋_GB2312" w:eastAsia="仿宋_GB2312"/>
          <w:sz w:val="28"/>
          <w:szCs w:val="28"/>
          <w:lang w:eastAsia="zh-CN"/>
        </w:rPr>
        <w:t>）</w:t>
      </w:r>
      <w:r>
        <w:rPr>
          <w:rFonts w:hint="eastAsia" w:ascii="仿宋_GB2312" w:eastAsia="仿宋_GB2312"/>
          <w:sz w:val="28"/>
          <w:szCs w:val="28"/>
        </w:rPr>
        <w:t>2024年度年初预算187.89万元，2024年度决算185.50万元，完成年初预算的98.73%。其中：</w:t>
      </w:r>
    </w:p>
    <w:p w14:paraId="4CE22BC3">
      <w:pPr>
        <w:spacing w:line="580" w:lineRule="exact"/>
        <w:ind w:firstLine="560" w:firstLineChars="200"/>
        <w:rPr>
          <w:rFonts w:ascii="仿宋_GB2312" w:eastAsia="仿宋_GB2312"/>
          <w:sz w:val="28"/>
          <w:szCs w:val="28"/>
        </w:rPr>
      </w:pPr>
      <w:r>
        <w:rPr>
          <w:rFonts w:hint="eastAsia" w:ascii="仿宋_GB2312" w:eastAsia="仿宋_GB2312"/>
          <w:sz w:val="28"/>
          <w:szCs w:val="28"/>
        </w:rPr>
        <w:t>“行政事业单位医疗”（款）2024年度年初预算187.89万元，2024年度决算185.50万元，完成年初预算的98.73%。主要原因：医疗保险基数调整导致医疗保险支出较年初预算有所减少。</w:t>
      </w:r>
    </w:p>
    <w:p w14:paraId="2F5146D4">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14:paraId="5F6F1EF2">
      <w:pPr>
        <w:spacing w:line="580" w:lineRule="exact"/>
        <w:ind w:firstLine="560" w:firstLineChars="200"/>
        <w:rPr>
          <w:rFonts w:ascii="仿宋_GB2312" w:eastAsia="仿宋_GB2312"/>
          <w:sz w:val="28"/>
          <w:szCs w:val="28"/>
        </w:rPr>
      </w:pPr>
      <w:r>
        <w:rPr>
          <w:rFonts w:hint="eastAsia" w:ascii="仿宋_GB2312" w:eastAsia="仿宋_GB2312"/>
          <w:sz w:val="28"/>
          <w:szCs w:val="28"/>
        </w:rPr>
        <w:t>本年度无此项支出。</w:t>
      </w:r>
    </w:p>
    <w:p w14:paraId="059A38E4">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7145B9D6">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本单位无此项经费。</w:t>
      </w:r>
    </w:p>
    <w:p w14:paraId="4D110C46">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14:paraId="61B88EB5">
      <w:pPr>
        <w:tabs>
          <w:tab w:val="center" w:pos="6979"/>
        </w:tabs>
        <w:spacing w:line="580" w:lineRule="exact"/>
        <w:ind w:firstLine="548" w:firstLineChars="196"/>
        <w:rPr>
          <w:rFonts w:ascii="宋体" w:hAnsi="宋体"/>
          <w:b/>
          <w:spacing w:val="40"/>
          <w:sz w:val="32"/>
          <w:szCs w:val="32"/>
        </w:rPr>
      </w:pPr>
      <w:r>
        <w:rPr>
          <w:rFonts w:hint="eastAsia" w:ascii="仿宋_GB2312" w:eastAsia="仿宋_GB2312"/>
          <w:sz w:val="28"/>
          <w:szCs w:val="28"/>
        </w:rPr>
        <w:t>2024年度使用一般公共预算财政拨款安排基本支出</w:t>
      </w:r>
      <w:r>
        <w:rPr>
          <w:rFonts w:ascii="仿宋_GB2312" w:eastAsia="仿宋_GB2312"/>
          <w:sz w:val="28"/>
          <w:szCs w:val="28"/>
        </w:rPr>
        <w:t>3209.99</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r>
        <w:rPr>
          <w:rFonts w:ascii="仿宋_GB2312" w:eastAsia="仿宋_GB2312"/>
          <w:b/>
          <w:sz w:val="32"/>
          <w:szCs w:val="32"/>
        </w:rPr>
        <w:tab/>
      </w:r>
    </w:p>
    <w:p w14:paraId="309AFA79">
      <w:pPr>
        <w:tabs>
          <w:tab w:val="center" w:pos="6979"/>
        </w:tabs>
        <w:jc w:val="center"/>
        <w:rPr>
          <w:rFonts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2024年度</w:t>
      </w:r>
      <w:r>
        <w:rPr>
          <w:rFonts w:hint="eastAsia" w:ascii="宋体" w:hAnsi="宋体" w:cs="宋体"/>
          <w:b/>
          <w:spacing w:val="40"/>
          <w:kern w:val="0"/>
          <w:sz w:val="32"/>
          <w:szCs w:val="32"/>
        </w:rPr>
        <w:t>其他重要事项的情况说明</w:t>
      </w:r>
    </w:p>
    <w:p w14:paraId="45E42D7E">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14:paraId="04FCCA48">
      <w:pPr>
        <w:spacing w:line="560" w:lineRule="exact"/>
        <w:ind w:firstLine="600"/>
        <w:rPr>
          <w:rFonts w:ascii="仿宋_GB2312" w:eastAsia="仿宋_GB2312"/>
          <w:sz w:val="28"/>
          <w:szCs w:val="28"/>
        </w:rPr>
      </w:pPr>
      <w:r>
        <w:rPr>
          <w:rFonts w:hint="eastAsia" w:ascii="仿宋_GB2312" w:eastAsia="仿宋_GB2312"/>
          <w:sz w:val="28"/>
          <w:szCs w:val="28"/>
        </w:rPr>
        <w:t>2024年度“三公”经</w:t>
      </w:r>
      <w:bookmarkStart w:id="0" w:name="_GoBack"/>
      <w:r>
        <w:rPr>
          <w:rFonts w:hint="eastAsia" w:ascii="仿宋_GB2312" w:eastAsia="仿宋_GB2312"/>
          <w:sz w:val="28"/>
          <w:szCs w:val="28"/>
        </w:rPr>
        <w:t>费财政拨款决算数</w:t>
      </w:r>
      <w:r>
        <w:rPr>
          <w:rFonts w:ascii="仿宋_GB2312" w:eastAsia="仿宋_GB2312"/>
          <w:sz w:val="28"/>
          <w:szCs w:val="28"/>
        </w:rPr>
        <w:t>2.5</w:t>
      </w:r>
      <w:r>
        <w:rPr>
          <w:rFonts w:hint="eastAsia" w:ascii="仿宋_GB2312" w:eastAsia="仿宋_GB2312"/>
          <w:sz w:val="28"/>
          <w:szCs w:val="28"/>
        </w:rPr>
        <w:t>万元，与2024年度年初预算数持平。其中：</w:t>
      </w:r>
    </w:p>
    <w:p w14:paraId="2D6B1A93">
      <w:pPr>
        <w:spacing w:line="560" w:lineRule="exact"/>
        <w:ind w:firstLine="600"/>
        <w:rPr>
          <w:rFonts w:ascii="仿宋_GB2312" w:eastAsia="仿宋_GB2312"/>
          <w:sz w:val="28"/>
          <w:szCs w:val="28"/>
        </w:rPr>
      </w:pPr>
      <w:r>
        <w:rPr>
          <w:rFonts w:hint="eastAsia" w:ascii="仿宋_GB2312" w:eastAsia="仿宋_GB2312"/>
          <w:sz w:val="28"/>
          <w:szCs w:val="28"/>
        </w:rPr>
        <w:t>1.因公出国（境）费用。2024年度决算数</w:t>
      </w:r>
      <w:r>
        <w:rPr>
          <w:rFonts w:ascii="仿宋_GB2312" w:eastAsia="仿宋_GB2312"/>
          <w:sz w:val="28"/>
          <w:szCs w:val="28"/>
        </w:rPr>
        <w:t>0</w:t>
      </w:r>
      <w:r>
        <w:rPr>
          <w:rFonts w:hint="eastAsia" w:ascii="仿宋_GB2312" w:eastAsia="仿宋_GB2312"/>
          <w:sz w:val="28"/>
          <w:szCs w:val="28"/>
        </w:rPr>
        <w:t>万元，与2024年度年初预算数持平。主要原因：2024年度本单位无因公出国（境）计划。</w:t>
      </w:r>
    </w:p>
    <w:bookmarkEnd w:id="0"/>
    <w:p w14:paraId="1607F1E0">
      <w:pPr>
        <w:spacing w:line="560" w:lineRule="exact"/>
        <w:ind w:firstLine="600"/>
        <w:rPr>
          <w:rFonts w:ascii="仿宋_GB2312" w:eastAsia="仿宋_GB2312"/>
          <w:sz w:val="28"/>
          <w:szCs w:val="28"/>
        </w:rPr>
      </w:pPr>
      <w:r>
        <w:rPr>
          <w:rFonts w:hint="eastAsia" w:ascii="仿宋_GB2312" w:eastAsia="仿宋_GB2312"/>
          <w:sz w:val="28"/>
          <w:szCs w:val="28"/>
        </w:rPr>
        <w:t>2.公务接待费。2024年度决算数</w:t>
      </w:r>
      <w:r>
        <w:rPr>
          <w:rFonts w:ascii="仿宋_GB2312" w:eastAsia="仿宋_GB2312"/>
          <w:sz w:val="28"/>
          <w:szCs w:val="28"/>
        </w:rPr>
        <w:t>0</w:t>
      </w:r>
      <w:r>
        <w:rPr>
          <w:rFonts w:hint="eastAsia" w:ascii="仿宋_GB2312" w:eastAsia="仿宋_GB2312"/>
          <w:sz w:val="28"/>
          <w:szCs w:val="28"/>
        </w:rPr>
        <w:t>万元，与2024年度年初预算数持平。主要原因：2024年度本单位无公务接待安排。</w:t>
      </w:r>
    </w:p>
    <w:p w14:paraId="16A41B96">
      <w:pPr>
        <w:spacing w:line="560" w:lineRule="exact"/>
        <w:ind w:firstLine="560" w:firstLineChars="200"/>
        <w:rPr>
          <w:rFonts w:ascii="仿宋_GB2312" w:eastAsia="仿宋_GB2312"/>
          <w:sz w:val="28"/>
          <w:szCs w:val="28"/>
        </w:rPr>
      </w:pPr>
      <w:r>
        <w:rPr>
          <w:rFonts w:hint="eastAsia" w:ascii="仿宋_GB2312" w:eastAsia="仿宋_GB2312"/>
          <w:sz w:val="28"/>
          <w:szCs w:val="28"/>
        </w:rPr>
        <w:t>3.公务用车购置及运行维护费。2024年度决算数</w:t>
      </w:r>
      <w:r>
        <w:rPr>
          <w:rFonts w:ascii="仿宋_GB2312" w:eastAsia="仿宋_GB2312"/>
          <w:sz w:val="28"/>
          <w:szCs w:val="28"/>
        </w:rPr>
        <w:t>2.5</w:t>
      </w:r>
      <w:r>
        <w:rPr>
          <w:rFonts w:hint="eastAsia" w:ascii="仿宋_GB2312" w:eastAsia="仿宋_GB2312"/>
          <w:sz w:val="28"/>
          <w:szCs w:val="28"/>
        </w:rPr>
        <w:t>万元，与2024年度年初预算数持平。其中，公务用车购置费2024年度决算数0万元，主要原因：本单位无公务用车更新计划，2024年度更新0辆。公务用车运行维护费2024年度决算数2.5万元，主要原因：厉行勤俭节约要求，严格控制公务用车运行维护费。2024年度公务用车保有量</w:t>
      </w:r>
      <w:r>
        <w:rPr>
          <w:rFonts w:ascii="仿宋_GB2312" w:eastAsia="仿宋_GB2312"/>
          <w:sz w:val="28"/>
          <w:szCs w:val="28"/>
        </w:rPr>
        <w:t>7</w:t>
      </w:r>
      <w:r>
        <w:rPr>
          <w:rFonts w:hint="eastAsia" w:ascii="仿宋_GB2312" w:eastAsia="仿宋_GB2312"/>
          <w:sz w:val="28"/>
          <w:szCs w:val="28"/>
        </w:rPr>
        <w:t>辆。</w:t>
      </w:r>
    </w:p>
    <w:p w14:paraId="3EBC9170">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14:paraId="1FE6EAD0">
      <w:pPr>
        <w:ind w:firstLine="537" w:firstLineChars="192"/>
        <w:rPr>
          <w:rFonts w:ascii="仿宋_GB2312" w:eastAsia="仿宋_GB2312"/>
          <w:sz w:val="28"/>
          <w:szCs w:val="28"/>
        </w:rPr>
      </w:pPr>
      <w:r>
        <w:rPr>
          <w:rFonts w:hint="eastAsia" w:ascii="仿宋_GB2312" w:eastAsia="仿宋_GB2312"/>
          <w:sz w:val="28"/>
          <w:szCs w:val="28"/>
        </w:rPr>
        <w:t>我单位不在机关运行经费统计范围之内。</w:t>
      </w:r>
    </w:p>
    <w:p w14:paraId="1F4E7551">
      <w:pPr>
        <w:ind w:left="540"/>
        <w:rPr>
          <w:rFonts w:ascii="黑体" w:eastAsia="黑体"/>
          <w:sz w:val="28"/>
          <w:szCs w:val="28"/>
        </w:rPr>
      </w:pPr>
      <w:r>
        <w:rPr>
          <w:rFonts w:hint="eastAsia" w:ascii="黑体" w:eastAsia="黑体"/>
          <w:sz w:val="28"/>
          <w:szCs w:val="28"/>
        </w:rPr>
        <w:t>三、政府采购支出情况</w:t>
      </w:r>
    </w:p>
    <w:p w14:paraId="7FF98B7F">
      <w:pPr>
        <w:ind w:firstLine="537" w:firstLineChars="192"/>
        <w:rPr>
          <w:rFonts w:ascii="仿宋_GB2312" w:eastAsia="仿宋_GB2312"/>
          <w:sz w:val="28"/>
          <w:szCs w:val="28"/>
        </w:rPr>
      </w:pPr>
      <w:r>
        <w:rPr>
          <w:rFonts w:hint="eastAsia" w:ascii="仿宋_GB2312" w:eastAsia="仿宋_GB2312"/>
          <w:sz w:val="28"/>
          <w:szCs w:val="28"/>
        </w:rPr>
        <w:t>2024年度政府采购支出总额</w:t>
      </w:r>
      <w:r>
        <w:rPr>
          <w:rFonts w:ascii="仿宋_GB2312" w:eastAsia="仿宋_GB2312"/>
          <w:sz w:val="28"/>
          <w:szCs w:val="28"/>
        </w:rPr>
        <w:t>302.06</w:t>
      </w:r>
      <w:r>
        <w:rPr>
          <w:rFonts w:hint="eastAsia" w:ascii="仿宋_GB2312" w:eastAsia="仿宋_GB2312"/>
          <w:sz w:val="28"/>
          <w:szCs w:val="28"/>
        </w:rPr>
        <w:t>万元，其中：政府采购货物支出</w:t>
      </w:r>
      <w:r>
        <w:rPr>
          <w:rFonts w:ascii="仿宋_GB2312" w:eastAsia="仿宋_GB2312"/>
          <w:sz w:val="28"/>
          <w:szCs w:val="28"/>
        </w:rPr>
        <w:t>2.06</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299.99</w:t>
      </w:r>
      <w:r>
        <w:rPr>
          <w:rFonts w:hint="eastAsia" w:ascii="仿宋_GB2312" w:eastAsia="仿宋_GB2312"/>
          <w:sz w:val="28"/>
          <w:szCs w:val="28"/>
        </w:rPr>
        <w:t>万元。授予中小企业合同金额</w:t>
      </w:r>
      <w:r>
        <w:rPr>
          <w:rFonts w:ascii="仿宋_GB2312" w:eastAsia="仿宋_GB2312"/>
          <w:sz w:val="28"/>
          <w:szCs w:val="28"/>
        </w:rPr>
        <w:t>166.95</w:t>
      </w:r>
      <w:r>
        <w:rPr>
          <w:rFonts w:hint="eastAsia" w:ascii="仿宋_GB2312" w:eastAsia="仿宋_GB2312"/>
          <w:sz w:val="28"/>
          <w:szCs w:val="28"/>
        </w:rPr>
        <w:t>万元，占政府采购支出总额的55.27%，其中：授予小微企业合同金额</w:t>
      </w:r>
      <w:r>
        <w:rPr>
          <w:rFonts w:ascii="仿宋_GB2312" w:eastAsia="仿宋_GB2312"/>
          <w:sz w:val="28"/>
          <w:szCs w:val="28"/>
        </w:rPr>
        <w:t>111.39</w:t>
      </w:r>
      <w:r>
        <w:rPr>
          <w:rFonts w:hint="eastAsia" w:ascii="仿宋_GB2312" w:eastAsia="仿宋_GB2312"/>
          <w:sz w:val="28"/>
          <w:szCs w:val="28"/>
        </w:rPr>
        <w:t>万元，占政府采购支出总额的</w:t>
      </w:r>
      <w:r>
        <w:rPr>
          <w:rFonts w:ascii="仿宋_GB2312" w:eastAsia="仿宋_GB2312"/>
          <w:sz w:val="28"/>
          <w:szCs w:val="28"/>
        </w:rPr>
        <w:t>36.88</w:t>
      </w:r>
      <w:r>
        <w:rPr>
          <w:rFonts w:hint="eastAsia" w:ascii="仿宋_GB2312" w:eastAsia="仿宋_GB2312"/>
          <w:sz w:val="28"/>
          <w:szCs w:val="28"/>
        </w:rPr>
        <w:t>%。</w:t>
      </w:r>
    </w:p>
    <w:p w14:paraId="640532E8">
      <w:pPr>
        <w:ind w:firstLine="560" w:firstLineChars="200"/>
        <w:rPr>
          <w:rFonts w:ascii="黑体" w:eastAsia="黑体"/>
          <w:sz w:val="28"/>
          <w:szCs w:val="28"/>
          <w:highlight w:val="yellow"/>
        </w:rPr>
      </w:pPr>
      <w:r>
        <w:rPr>
          <w:rFonts w:hint="eastAsia" w:ascii="黑体" w:eastAsia="黑体"/>
          <w:sz w:val="28"/>
          <w:szCs w:val="28"/>
        </w:rPr>
        <w:t>四、国有资产占用情况</w:t>
      </w:r>
    </w:p>
    <w:p w14:paraId="5AB569BD">
      <w:pPr>
        <w:ind w:firstLine="560" w:firstLineChars="200"/>
        <w:rPr>
          <w:rFonts w:ascii="仿宋_GB2312" w:eastAsia="仿宋_GB2312"/>
          <w:sz w:val="32"/>
          <w:szCs w:val="32"/>
        </w:rPr>
      </w:pPr>
      <w:r>
        <w:rPr>
          <w:rFonts w:hint="eastAsia" w:ascii="仿宋_GB2312" w:eastAsia="仿宋_GB2312"/>
          <w:sz w:val="28"/>
          <w:szCs w:val="28"/>
        </w:rPr>
        <w:t>截至12月31日，北京市民族团结进步促进中心共有车辆7台；单位价值100万元（含）以上的设备0台（套）。</w:t>
      </w:r>
    </w:p>
    <w:p w14:paraId="12EF834D">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54AE07D5">
      <w:pPr>
        <w:ind w:firstLine="537" w:firstLineChars="192"/>
        <w:rPr>
          <w:rFonts w:ascii="仿宋_GB2312" w:eastAsia="仿宋_GB2312"/>
          <w:sz w:val="28"/>
          <w:szCs w:val="28"/>
        </w:rPr>
      </w:pPr>
      <w:r>
        <w:rPr>
          <w:rFonts w:hint="eastAsia" w:ascii="仿宋_GB2312" w:eastAsia="仿宋_GB2312"/>
          <w:sz w:val="28"/>
          <w:szCs w:val="28"/>
        </w:rPr>
        <w:t>2024年度</w:t>
      </w:r>
      <w:r>
        <w:rPr>
          <w:rFonts w:ascii="仿宋_GB2312" w:eastAsia="仿宋_GB2312"/>
          <w:sz w:val="28"/>
          <w:szCs w:val="28"/>
        </w:rPr>
        <w:t>政府购买服务决算0</w:t>
      </w:r>
      <w:r>
        <w:rPr>
          <w:rFonts w:hint="eastAsia" w:ascii="仿宋_GB2312" w:eastAsia="仿宋_GB2312"/>
          <w:sz w:val="28"/>
          <w:szCs w:val="28"/>
        </w:rPr>
        <w:t>万元。</w:t>
      </w:r>
    </w:p>
    <w:p w14:paraId="2FB1E054">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4BB212C8">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4C2515F3">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530D9A83">
      <w:pPr>
        <w:ind w:firstLine="560" w:firstLineChars="200"/>
        <w:rPr>
          <w:rFonts w:hint="eastAsia" w:ascii="仿宋_GB2312" w:eastAsia="仿宋_GB2312"/>
          <w:sz w:val="28"/>
          <w:szCs w:val="28"/>
        </w:rPr>
      </w:pPr>
      <w:r>
        <w:rPr>
          <w:rFonts w:hint="eastAsia" w:ascii="仿宋_GB2312" w:eastAsia="仿宋_GB2312"/>
          <w:sz w:val="28"/>
          <w:szCs w:val="28"/>
        </w:rPr>
        <w:t>3.“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067B178F">
      <w:pPr>
        <w:ind w:firstLine="560" w:firstLineChars="200"/>
        <w:rPr>
          <w:rFonts w:hint="eastAsia" w:ascii="仿宋_GB2312" w:eastAsia="仿宋_GB2312"/>
          <w:sz w:val="28"/>
          <w:szCs w:val="28"/>
        </w:rPr>
      </w:pPr>
      <w:r>
        <w:rPr>
          <w:rFonts w:hint="eastAsia" w:ascii="仿宋_GB2312" w:eastAsia="仿宋_GB2312"/>
          <w:sz w:val="28"/>
          <w:szCs w:val="28"/>
        </w:rPr>
        <w:t>4.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532045B">
      <w:pPr>
        <w:ind w:firstLine="560" w:firstLineChars="200"/>
        <w:rPr>
          <w:rFonts w:hint="eastAsia" w:ascii="仿宋_GB2312" w:eastAsia="仿宋_GB2312"/>
          <w:sz w:val="28"/>
          <w:szCs w:val="28"/>
        </w:rPr>
      </w:pPr>
      <w:r>
        <w:rPr>
          <w:rFonts w:hint="eastAsia" w:ascii="仿宋_GB2312" w:eastAsia="仿宋_GB2312"/>
          <w:sz w:val="28"/>
          <w:szCs w:val="28"/>
        </w:rPr>
        <w:t>5.政府采购：指各级国家机关、事业单位和团体组织，使用财政性资金采购依法制定的集中目录以内的或者采购限额标准以上的货物、工程和服务的行为，是规范财政支出管理和强化预算约束的有效措施。</w:t>
      </w:r>
    </w:p>
    <w:p w14:paraId="25AD9074">
      <w:pPr>
        <w:ind w:firstLine="560" w:firstLineChars="200"/>
        <w:rPr>
          <w:rFonts w:hint="eastAsia" w:ascii="仿宋_GB2312" w:eastAsia="仿宋_GB2312"/>
          <w:sz w:val="28"/>
          <w:szCs w:val="28"/>
        </w:rPr>
      </w:pPr>
      <w:r>
        <w:rPr>
          <w:rFonts w:hint="eastAsia" w:ascii="仿宋_GB2312" w:eastAsia="仿宋_GB2312"/>
          <w:sz w:val="28"/>
          <w:szCs w:val="28"/>
        </w:rPr>
        <w:t>6.政府购买服务：是指各级国家机关将属于自身职责范围且适合通过市场化方式提供的服务事项，按照政府采购方式和程序，交由符合条件的服务供应商承担，并根据服务数量和质量等因素向其支付费用的行为。</w:t>
      </w:r>
    </w:p>
    <w:p w14:paraId="0ED671C1">
      <w:pPr>
        <w:ind w:firstLine="560" w:firstLineChars="200"/>
        <w:rPr>
          <w:rFonts w:hint="eastAsia" w:ascii="仿宋_GB2312" w:eastAsia="仿宋_GB2312"/>
          <w:sz w:val="28"/>
          <w:szCs w:val="28"/>
          <w:lang w:eastAsia="zh-CN"/>
        </w:rPr>
      </w:pPr>
      <w:r>
        <w:rPr>
          <w:rFonts w:hint="eastAsia" w:ascii="仿宋_GB2312" w:eastAsia="仿宋_GB2312"/>
          <w:sz w:val="28"/>
          <w:szCs w:val="28"/>
        </w:rPr>
        <w:t>7.一般公共服务支出</w:t>
      </w:r>
      <w:r>
        <w:rPr>
          <w:rFonts w:hint="eastAsia" w:ascii="仿宋_GB2312" w:eastAsia="仿宋_GB2312"/>
          <w:sz w:val="28"/>
          <w:szCs w:val="28"/>
          <w:lang w:eastAsia="zh-CN"/>
        </w:rPr>
        <w:t>（类）</w:t>
      </w:r>
      <w:r>
        <w:rPr>
          <w:rFonts w:hint="eastAsia" w:ascii="仿宋_GB2312" w:eastAsia="仿宋_GB2312"/>
          <w:sz w:val="28"/>
          <w:szCs w:val="28"/>
        </w:rPr>
        <w:t>民族事务（款）</w:t>
      </w:r>
      <w:r>
        <w:rPr>
          <w:rFonts w:hint="eastAsia" w:ascii="仿宋_GB2312" w:eastAsia="仿宋_GB2312"/>
          <w:sz w:val="28"/>
          <w:szCs w:val="28"/>
          <w:lang w:eastAsia="zh-CN"/>
        </w:rPr>
        <w:t>事业</w:t>
      </w:r>
      <w:r>
        <w:rPr>
          <w:rFonts w:hint="eastAsia" w:ascii="仿宋_GB2312" w:eastAsia="仿宋_GB2312"/>
          <w:sz w:val="28"/>
          <w:szCs w:val="28"/>
        </w:rPr>
        <w:t>运行（项）：反映</w:t>
      </w:r>
      <w:r>
        <w:rPr>
          <w:rFonts w:hint="eastAsia" w:ascii="仿宋_GB2312" w:eastAsia="仿宋_GB2312"/>
          <w:sz w:val="28"/>
          <w:szCs w:val="28"/>
          <w:lang w:eastAsia="zh-CN"/>
        </w:rPr>
        <w:t>事业</w:t>
      </w:r>
      <w:r>
        <w:rPr>
          <w:rFonts w:hint="eastAsia" w:ascii="仿宋_GB2312" w:eastAsia="仿宋_GB2312"/>
          <w:sz w:val="28"/>
          <w:szCs w:val="28"/>
        </w:rPr>
        <w:t>单位的基本支出</w:t>
      </w:r>
      <w:r>
        <w:rPr>
          <w:rFonts w:hint="eastAsia" w:ascii="仿宋_GB2312" w:eastAsia="仿宋_GB2312"/>
          <w:sz w:val="28"/>
          <w:szCs w:val="28"/>
          <w:lang w:eastAsia="zh-CN"/>
        </w:rPr>
        <w:t>，不包括行政单位（包括实行公务员管理的事业单位）后勤服务中心、医务室等附属事业单位。</w:t>
      </w:r>
    </w:p>
    <w:p w14:paraId="43A11A41">
      <w:pPr>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8</w:t>
      </w:r>
      <w:r>
        <w:rPr>
          <w:rFonts w:hint="eastAsia" w:ascii="仿宋_GB2312" w:eastAsia="仿宋_GB2312"/>
          <w:sz w:val="28"/>
          <w:szCs w:val="28"/>
        </w:rPr>
        <w:t>.一般公共服务支出</w:t>
      </w:r>
      <w:r>
        <w:rPr>
          <w:rFonts w:hint="eastAsia" w:ascii="仿宋_GB2312" w:eastAsia="仿宋_GB2312"/>
          <w:sz w:val="28"/>
          <w:szCs w:val="28"/>
          <w:lang w:eastAsia="zh-CN"/>
        </w:rPr>
        <w:t>（类）</w:t>
      </w:r>
      <w:r>
        <w:rPr>
          <w:rFonts w:hint="eastAsia" w:ascii="仿宋_GB2312" w:eastAsia="仿宋_GB2312"/>
          <w:sz w:val="28"/>
          <w:szCs w:val="28"/>
        </w:rPr>
        <w:t>民族事务（款）</w:t>
      </w:r>
      <w:r>
        <w:rPr>
          <w:rFonts w:hint="eastAsia" w:ascii="仿宋_GB2312" w:eastAsia="仿宋_GB2312"/>
          <w:sz w:val="28"/>
          <w:szCs w:val="28"/>
          <w:lang w:eastAsia="zh-CN"/>
        </w:rPr>
        <w:t>民族工作专项</w:t>
      </w:r>
      <w:r>
        <w:rPr>
          <w:rFonts w:hint="eastAsia" w:ascii="仿宋_GB2312" w:eastAsia="仿宋_GB2312"/>
          <w:sz w:val="28"/>
          <w:szCs w:val="28"/>
        </w:rPr>
        <w:t>（项）：反映</w:t>
      </w:r>
      <w:r>
        <w:rPr>
          <w:rFonts w:hint="eastAsia" w:ascii="仿宋_GB2312" w:eastAsia="仿宋_GB2312"/>
          <w:sz w:val="28"/>
          <w:szCs w:val="28"/>
          <w:lang w:eastAsia="zh-CN"/>
        </w:rPr>
        <w:t>用于民族事务管理方面的专项支出。</w:t>
      </w:r>
    </w:p>
    <w:p w14:paraId="36C103B4">
      <w:pPr>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9</w:t>
      </w:r>
      <w:r>
        <w:rPr>
          <w:rFonts w:hint="eastAsia" w:ascii="仿宋_GB2312" w:eastAsia="仿宋_GB2312"/>
          <w:sz w:val="28"/>
          <w:szCs w:val="28"/>
        </w:rPr>
        <w:t>.教育支出</w:t>
      </w:r>
      <w:r>
        <w:rPr>
          <w:rFonts w:hint="eastAsia" w:ascii="仿宋_GB2312" w:eastAsia="仿宋_GB2312"/>
          <w:sz w:val="28"/>
          <w:szCs w:val="28"/>
          <w:lang w:eastAsia="zh-CN"/>
        </w:rPr>
        <w:t>（类）</w:t>
      </w:r>
      <w:r>
        <w:rPr>
          <w:rFonts w:hint="eastAsia" w:ascii="仿宋_GB2312" w:eastAsia="仿宋_GB2312"/>
          <w:sz w:val="28"/>
          <w:szCs w:val="28"/>
        </w:rPr>
        <w:t>进修及培训（款）培训支出（项）：反映</w:t>
      </w:r>
      <w:r>
        <w:rPr>
          <w:rFonts w:hint="eastAsia" w:ascii="仿宋_GB2312" w:eastAsia="仿宋_GB2312"/>
          <w:sz w:val="28"/>
          <w:szCs w:val="28"/>
          <w:lang w:eastAsia="zh-CN"/>
        </w:rPr>
        <w:t>各部门安排的用于培训的支出。教育部门的师资培训，党校、行政学院等专业干部教育机构的支出，以及退役士兵、转业士官的培训支出，不在本科目反映。</w:t>
      </w:r>
    </w:p>
    <w:p w14:paraId="6950D1A0">
      <w:pPr>
        <w:ind w:firstLine="560" w:firstLineChars="200"/>
        <w:rPr>
          <w:rFonts w:hint="eastAsia" w:ascii="仿宋_GB2312" w:eastAsia="仿宋_GB2312"/>
          <w:sz w:val="28"/>
          <w:szCs w:val="28"/>
        </w:rPr>
      </w:pPr>
      <w:r>
        <w:rPr>
          <w:rFonts w:hint="eastAsia" w:ascii="仿宋_GB2312" w:eastAsia="仿宋_GB2312"/>
          <w:sz w:val="28"/>
          <w:szCs w:val="28"/>
          <w:lang w:val="en-US" w:eastAsia="zh-CN"/>
        </w:rPr>
        <w:t>10</w:t>
      </w:r>
      <w:r>
        <w:rPr>
          <w:rFonts w:hint="eastAsia" w:ascii="仿宋_GB2312" w:eastAsia="仿宋_GB2312"/>
          <w:sz w:val="28"/>
          <w:szCs w:val="28"/>
        </w:rPr>
        <w:t>.社会保障和就业支出</w:t>
      </w:r>
      <w:r>
        <w:rPr>
          <w:rFonts w:hint="eastAsia" w:ascii="仿宋_GB2312" w:eastAsia="仿宋_GB2312"/>
          <w:sz w:val="28"/>
          <w:szCs w:val="28"/>
          <w:lang w:eastAsia="zh-CN"/>
        </w:rPr>
        <w:t>（类）</w:t>
      </w:r>
      <w:r>
        <w:rPr>
          <w:rFonts w:hint="eastAsia" w:ascii="仿宋_GB2312" w:eastAsia="仿宋_GB2312"/>
          <w:sz w:val="28"/>
          <w:szCs w:val="28"/>
        </w:rPr>
        <w:t>行政事业单位养老支出（款）机关事业单位基本养老保险缴费支出（项）：反映</w:t>
      </w:r>
      <w:r>
        <w:rPr>
          <w:rFonts w:hint="eastAsia" w:ascii="仿宋_GB2312" w:eastAsia="仿宋_GB2312"/>
          <w:sz w:val="28"/>
          <w:szCs w:val="28"/>
          <w:lang w:eastAsia="zh-CN"/>
        </w:rPr>
        <w:t>机关事业单位实施养老保险制度由单位缴纳的基本养老保险费支出</w:t>
      </w:r>
      <w:r>
        <w:rPr>
          <w:rFonts w:hint="eastAsia" w:ascii="仿宋_GB2312" w:eastAsia="仿宋_GB2312"/>
          <w:sz w:val="28"/>
          <w:szCs w:val="28"/>
        </w:rPr>
        <w:t>。</w:t>
      </w:r>
    </w:p>
    <w:p w14:paraId="60175334">
      <w:pPr>
        <w:ind w:firstLine="560" w:firstLineChars="200"/>
        <w:rPr>
          <w:rFonts w:hint="eastAsia" w:ascii="仿宋_GB2312" w:eastAsia="仿宋_GB2312"/>
          <w:sz w:val="28"/>
          <w:szCs w:val="28"/>
        </w:rPr>
      </w:pPr>
      <w:r>
        <w:rPr>
          <w:rFonts w:hint="eastAsia" w:ascii="仿宋_GB2312" w:eastAsia="仿宋_GB2312"/>
          <w:sz w:val="28"/>
          <w:szCs w:val="28"/>
          <w:lang w:val="en-US" w:eastAsia="zh-CN"/>
        </w:rPr>
        <w:t>11</w:t>
      </w:r>
      <w:r>
        <w:rPr>
          <w:rFonts w:hint="eastAsia" w:ascii="仿宋_GB2312" w:eastAsia="仿宋_GB2312"/>
          <w:sz w:val="28"/>
          <w:szCs w:val="28"/>
        </w:rPr>
        <w:t>.社会保障和就业支出</w:t>
      </w:r>
      <w:r>
        <w:rPr>
          <w:rFonts w:hint="eastAsia" w:ascii="仿宋_GB2312" w:eastAsia="仿宋_GB2312"/>
          <w:sz w:val="28"/>
          <w:szCs w:val="28"/>
          <w:lang w:eastAsia="zh-CN"/>
        </w:rPr>
        <w:t>（类）</w:t>
      </w:r>
      <w:r>
        <w:rPr>
          <w:rFonts w:hint="eastAsia" w:ascii="仿宋_GB2312" w:eastAsia="仿宋_GB2312"/>
          <w:sz w:val="28"/>
          <w:szCs w:val="28"/>
        </w:rPr>
        <w:t>行政事业单位养老支出（款）机关事业单位职业年金缴费支出（项）：反映</w:t>
      </w:r>
      <w:r>
        <w:rPr>
          <w:rFonts w:hint="eastAsia" w:ascii="仿宋_GB2312" w:eastAsia="仿宋_GB2312"/>
          <w:sz w:val="28"/>
          <w:szCs w:val="28"/>
          <w:lang w:eastAsia="zh-CN"/>
        </w:rPr>
        <w:t>机关事业单位实施养老保险制度由单位实际缴纳的职业年金支出</w:t>
      </w:r>
      <w:r>
        <w:rPr>
          <w:rFonts w:hint="eastAsia" w:ascii="仿宋_GB2312" w:eastAsia="仿宋_GB2312"/>
          <w:sz w:val="28"/>
          <w:szCs w:val="28"/>
        </w:rPr>
        <w:t>。</w:t>
      </w:r>
    </w:p>
    <w:p w14:paraId="6704D836">
      <w:pPr>
        <w:ind w:firstLine="560" w:firstLineChars="200"/>
        <w:rPr>
          <w:rFonts w:hint="eastAsia" w:ascii="仿宋_GB2312" w:eastAsia="仿宋_GB2312"/>
          <w:sz w:val="28"/>
          <w:szCs w:val="28"/>
        </w:rPr>
      </w:pPr>
      <w:r>
        <w:rPr>
          <w:rFonts w:hint="eastAsia" w:ascii="仿宋_GB2312" w:eastAsia="仿宋_GB2312"/>
          <w:sz w:val="28"/>
          <w:szCs w:val="28"/>
        </w:rPr>
        <w:t>1</w:t>
      </w:r>
      <w:r>
        <w:rPr>
          <w:rFonts w:hint="eastAsia" w:ascii="仿宋_GB2312" w:eastAsia="仿宋_GB2312"/>
          <w:sz w:val="28"/>
          <w:szCs w:val="28"/>
          <w:lang w:val="en-US" w:eastAsia="zh-CN"/>
        </w:rPr>
        <w:t>2</w:t>
      </w:r>
      <w:r>
        <w:rPr>
          <w:rFonts w:hint="eastAsia" w:ascii="仿宋_GB2312" w:eastAsia="仿宋_GB2312"/>
          <w:sz w:val="28"/>
          <w:szCs w:val="28"/>
        </w:rPr>
        <w:t>.卫生健康支出</w:t>
      </w:r>
      <w:r>
        <w:rPr>
          <w:rFonts w:hint="eastAsia" w:ascii="仿宋_GB2312" w:eastAsia="仿宋_GB2312"/>
          <w:sz w:val="28"/>
          <w:szCs w:val="28"/>
          <w:lang w:eastAsia="zh-CN"/>
        </w:rPr>
        <w:t>（类）</w:t>
      </w:r>
      <w:r>
        <w:rPr>
          <w:rFonts w:hint="eastAsia" w:ascii="仿宋_GB2312" w:eastAsia="仿宋_GB2312"/>
          <w:sz w:val="28"/>
          <w:szCs w:val="28"/>
        </w:rPr>
        <w:t>行政事业单位医疗（款）事业单位医疗（项）：反映</w:t>
      </w:r>
      <w:r>
        <w:rPr>
          <w:rFonts w:hint="eastAsia" w:ascii="仿宋_GB2312" w:eastAsia="仿宋_GB2312"/>
          <w:sz w:val="28"/>
          <w:szCs w:val="28"/>
          <w:lang w:eastAsia="zh-CN"/>
        </w:rPr>
        <w:t>财政部门安排的事业单位基本医疗保险缴费经费，未参加医疗保险的事业单位的公费医疗经费，按国家规定享受离休人员待遇的医疗经费</w:t>
      </w:r>
      <w:r>
        <w:rPr>
          <w:rFonts w:hint="eastAsia" w:ascii="仿宋_GB2312" w:eastAsia="仿宋_GB2312"/>
          <w:sz w:val="28"/>
          <w:szCs w:val="28"/>
        </w:rPr>
        <w:t>。</w:t>
      </w:r>
    </w:p>
    <w:p w14:paraId="56B019F7">
      <w:pPr>
        <w:rPr>
          <w:rFonts w:ascii="黑体" w:eastAsia="黑体"/>
          <w:sz w:val="32"/>
          <w:szCs w:val="32"/>
        </w:rPr>
      </w:pPr>
    </w:p>
    <w:p w14:paraId="1F0AB54C">
      <w:pPr>
        <w:tabs>
          <w:tab w:val="center" w:pos="6979"/>
        </w:tabs>
        <w:spacing w:line="380" w:lineRule="exact"/>
        <w:jc w:val="center"/>
        <w:rPr>
          <w:rFonts w:ascii="宋体" w:hAnsi="宋体" w:cs="宋体"/>
          <w:b/>
          <w:bCs/>
          <w:kern w:val="0"/>
          <w:sz w:val="28"/>
          <w:szCs w:val="28"/>
        </w:rPr>
      </w:pPr>
    </w:p>
    <w:p w14:paraId="7F1C7E2A">
      <w:pPr>
        <w:tabs>
          <w:tab w:val="center" w:pos="6979"/>
        </w:tabs>
        <w:spacing w:line="380" w:lineRule="exact"/>
        <w:jc w:val="center"/>
        <w:rPr>
          <w:rFonts w:ascii="宋体" w:hAnsi="宋体" w:cs="宋体"/>
          <w:b/>
          <w:bCs/>
          <w:kern w:val="0"/>
          <w:sz w:val="28"/>
          <w:szCs w:val="28"/>
        </w:rPr>
      </w:pPr>
    </w:p>
    <w:p w14:paraId="06A7E8FF">
      <w:pPr>
        <w:rPr>
          <w:rFonts w:ascii="黑体" w:eastAsia="黑体"/>
          <w:sz w:val="32"/>
          <w:szCs w:val="32"/>
        </w:rPr>
      </w:pPr>
    </w:p>
    <w:p w14:paraId="62645BBF">
      <w:pPr>
        <w:ind w:firstLine="640" w:firstLineChars="200"/>
        <w:jc w:val="center"/>
        <w:rPr>
          <w:rFonts w:ascii="黑体" w:eastAsia="黑体"/>
          <w:sz w:val="32"/>
          <w:szCs w:val="32"/>
        </w:rPr>
      </w:pPr>
    </w:p>
    <w:p w14:paraId="0DDAA6FF">
      <w:pPr>
        <w:rPr>
          <w:rFonts w:hint="eastAsia" w:ascii="黑体" w:eastAsia="黑体"/>
          <w:sz w:val="32"/>
          <w:szCs w:val="32"/>
        </w:rPr>
      </w:pPr>
      <w:r>
        <w:rPr>
          <w:rFonts w:hint="eastAsia" w:ascii="黑体" w:eastAsia="黑体"/>
          <w:sz w:val="32"/>
          <w:szCs w:val="32"/>
        </w:rPr>
        <w:br w:type="page"/>
      </w:r>
    </w:p>
    <w:p w14:paraId="7D62A2E1">
      <w:pPr>
        <w:ind w:firstLine="640" w:firstLineChars="200"/>
        <w:jc w:val="center"/>
        <w:rPr>
          <w:rFonts w:ascii="黑体" w:eastAsia="黑体"/>
          <w:sz w:val="32"/>
          <w:szCs w:val="32"/>
        </w:rPr>
      </w:pPr>
      <w:r>
        <w:rPr>
          <w:rFonts w:hint="eastAsia" w:ascii="黑体" w:eastAsia="黑体"/>
          <w:sz w:val="32"/>
          <w:szCs w:val="32"/>
        </w:rPr>
        <w:t>第四部分  2024年度部门绩效评价情况</w:t>
      </w:r>
    </w:p>
    <w:p w14:paraId="18409209">
      <w:pPr>
        <w:ind w:firstLine="560" w:firstLineChars="200"/>
        <w:rPr>
          <w:rFonts w:ascii="黑体" w:eastAsia="黑体"/>
          <w:sz w:val="28"/>
          <w:szCs w:val="28"/>
          <w:highlight w:val="yellow"/>
        </w:rPr>
      </w:pPr>
    </w:p>
    <w:p w14:paraId="6234322B">
      <w:pPr>
        <w:ind w:firstLine="560" w:firstLineChars="200"/>
        <w:rPr>
          <w:rFonts w:ascii="黑体" w:eastAsia="黑体"/>
          <w:sz w:val="28"/>
          <w:szCs w:val="28"/>
        </w:rPr>
      </w:pPr>
      <w:r>
        <w:rPr>
          <w:rFonts w:hint="eastAsia" w:ascii="黑体" w:eastAsia="黑体"/>
          <w:sz w:val="28"/>
          <w:szCs w:val="28"/>
        </w:rPr>
        <w:t>一、项目</w:t>
      </w:r>
      <w:r>
        <w:rPr>
          <w:rFonts w:ascii="黑体" w:eastAsia="黑体"/>
          <w:sz w:val="28"/>
          <w:szCs w:val="28"/>
        </w:rPr>
        <w:t>支出绩效自评表</w:t>
      </w:r>
    </w:p>
    <w:p w14:paraId="365F20C1">
      <w:pPr>
        <w:ind w:firstLine="560" w:firstLineChars="200"/>
        <w:rPr>
          <w:rFonts w:hint="eastAsia" w:ascii="仿宋_GB2312" w:eastAsia="仿宋_GB2312"/>
          <w:sz w:val="28"/>
          <w:szCs w:val="28"/>
        </w:rPr>
      </w:pPr>
      <w:r>
        <w:rPr>
          <w:rFonts w:hint="eastAsia" w:ascii="仿宋_GB2312" w:eastAsia="仿宋_GB2312"/>
          <w:sz w:val="28"/>
          <w:szCs w:val="28"/>
        </w:rPr>
        <w:t>详见附件。</w:t>
      </w:r>
    </w:p>
    <w:p w14:paraId="77299747">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AE4B4">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198508C5">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2C507">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72E21D5F">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25842">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6FD5A70A">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04BCE"/>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25BF"/>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241"/>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2DE2"/>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1058"/>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D0FBD"/>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056D13"/>
    <w:rsid w:val="0BA148CA"/>
    <w:rsid w:val="0BE94131"/>
    <w:rsid w:val="0C1165C4"/>
    <w:rsid w:val="0D6D544B"/>
    <w:rsid w:val="0DD136FE"/>
    <w:rsid w:val="0F8E2C57"/>
    <w:rsid w:val="1059665E"/>
    <w:rsid w:val="10621DCA"/>
    <w:rsid w:val="10AC13BA"/>
    <w:rsid w:val="130549BB"/>
    <w:rsid w:val="13410B26"/>
    <w:rsid w:val="13EB21F9"/>
    <w:rsid w:val="145A6C1B"/>
    <w:rsid w:val="14B73493"/>
    <w:rsid w:val="167A2FF9"/>
    <w:rsid w:val="16DA1029"/>
    <w:rsid w:val="18581C69"/>
    <w:rsid w:val="189D127B"/>
    <w:rsid w:val="1AEC0734"/>
    <w:rsid w:val="1BF956CF"/>
    <w:rsid w:val="1DEF20B0"/>
    <w:rsid w:val="20C01763"/>
    <w:rsid w:val="214243FA"/>
    <w:rsid w:val="21AD613C"/>
    <w:rsid w:val="22467189"/>
    <w:rsid w:val="257A14F5"/>
    <w:rsid w:val="260929B3"/>
    <w:rsid w:val="26B6478B"/>
    <w:rsid w:val="27196C26"/>
    <w:rsid w:val="281F04B0"/>
    <w:rsid w:val="297E28EC"/>
    <w:rsid w:val="29EF086F"/>
    <w:rsid w:val="2DE55AB4"/>
    <w:rsid w:val="2EFFE297"/>
    <w:rsid w:val="301437CA"/>
    <w:rsid w:val="349D1F0A"/>
    <w:rsid w:val="34DD0473"/>
    <w:rsid w:val="3C053497"/>
    <w:rsid w:val="3C684897"/>
    <w:rsid w:val="426862C4"/>
    <w:rsid w:val="433E495C"/>
    <w:rsid w:val="489F2FD7"/>
    <w:rsid w:val="491F1ACF"/>
    <w:rsid w:val="4AC27CB3"/>
    <w:rsid w:val="4BF72BEF"/>
    <w:rsid w:val="4C4C51CA"/>
    <w:rsid w:val="4D224317"/>
    <w:rsid w:val="4F5301FA"/>
    <w:rsid w:val="4FA90297"/>
    <w:rsid w:val="4FC41A43"/>
    <w:rsid w:val="50330C31"/>
    <w:rsid w:val="51DB3C59"/>
    <w:rsid w:val="550C0952"/>
    <w:rsid w:val="55762E42"/>
    <w:rsid w:val="55D83FC4"/>
    <w:rsid w:val="57557333"/>
    <w:rsid w:val="57A7B272"/>
    <w:rsid w:val="58470068"/>
    <w:rsid w:val="58747CAC"/>
    <w:rsid w:val="58C45321"/>
    <w:rsid w:val="5A015811"/>
    <w:rsid w:val="5A1720F9"/>
    <w:rsid w:val="5B0C0500"/>
    <w:rsid w:val="5B9C37C2"/>
    <w:rsid w:val="5BA7C654"/>
    <w:rsid w:val="5E4D1C61"/>
    <w:rsid w:val="60A54109"/>
    <w:rsid w:val="61D01CDF"/>
    <w:rsid w:val="646E3A84"/>
    <w:rsid w:val="64C0607C"/>
    <w:rsid w:val="65756C86"/>
    <w:rsid w:val="65D6698C"/>
    <w:rsid w:val="66E96A4C"/>
    <w:rsid w:val="674D385B"/>
    <w:rsid w:val="676F09E1"/>
    <w:rsid w:val="6DE611E8"/>
    <w:rsid w:val="71855B14"/>
    <w:rsid w:val="72514A93"/>
    <w:rsid w:val="7357290B"/>
    <w:rsid w:val="788E2AD0"/>
    <w:rsid w:val="79457181"/>
    <w:rsid w:val="794C0316"/>
    <w:rsid w:val="798524E4"/>
    <w:rsid w:val="7A7F1C49"/>
    <w:rsid w:val="7B060CA1"/>
    <w:rsid w:val="7B5B7AE6"/>
    <w:rsid w:val="7B7B6628"/>
    <w:rsid w:val="7BA7071E"/>
    <w:rsid w:val="7BDF6DA8"/>
    <w:rsid w:val="7C7EDC1A"/>
    <w:rsid w:val="7CCED98D"/>
    <w:rsid w:val="7D08410F"/>
    <w:rsid w:val="7DB96DED"/>
    <w:rsid w:val="7DC659A2"/>
    <w:rsid w:val="7DD3AD81"/>
    <w:rsid w:val="7E3F4318"/>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G:\mihx\&#20915;&#31639;\2024\&#20915;&#31639;&#33609;&#26696;\&#25968;&#25454;&#23545;&#27604;.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G:\mihx\&#20915;&#31639;\2024\&#20915;&#31639;&#33609;&#26696;\&#25968;&#25454;&#23545;&#276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0"/>
          <c:dPt>
            <c:idx val="0"/>
            <c:bubble3D val="0"/>
          </c:dPt>
          <c:dPt>
            <c:idx val="1"/>
            <c:bubble3D val="0"/>
          </c:dPt>
          <c:dPt>
            <c:idx val="2"/>
            <c:bubble3D val="0"/>
          </c:dPt>
          <c:dLbls>
            <c:dLbl>
              <c:idx val="1"/>
              <c:layout>
                <c:manualLayout>
                  <c:x val="-0.134733038774202"/>
                  <c:y val="-0.007825995190924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197108995458567"/>
                  <c:y val="-0.0069116998067335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extLst>
                <c:ext xmlns:c15="http://schemas.microsoft.com/office/drawing/2012/chart" uri="{02D57815-91ED-43cb-92C2-25804820EDAC}">
                  <c15:fullRef>
                    <c15:sqref>[数据对比.xlsx]Sheet2!$A$3:$A$8</c15:sqref>
                  </c15:fullRef>
                </c:ext>
              </c:extLst>
              <c:f>([数据对比.xlsx]Sheet2!$A$3,[数据对比.xlsx]Sheet2!$A$5,[数据对比.xlsx]Sheet2!$A$8)</c:f>
              <c:strCache>
                <c:ptCount val="3"/>
                <c:pt idx="0">
                  <c:v>财政拨款收入</c:v>
                </c:pt>
                <c:pt idx="1">
                  <c:v>事业收入</c:v>
                </c:pt>
                <c:pt idx="2">
                  <c:v>其他收入</c:v>
                </c:pt>
              </c:strCache>
            </c:strRef>
          </c:cat>
          <c:val>
            <c:numRef>
              <c:extLst>
                <c:ext xmlns:c15="http://schemas.microsoft.com/office/drawing/2012/chart" uri="{02D57815-91ED-43cb-92C2-25804820EDAC}">
                  <c15:fullRef>
                    <c15:sqref>Sheet2!$B$3:$B$8</c15:sqref>
                  </c15:fullRef>
                </c:ext>
              </c:extLst>
              <c:f>([数据对比.xlsx]Sheet2!$B$3,[数据对比.xlsx]Sheet2!$B$5,[数据对比.xlsx]Sheet2!$B$8)</c:f>
              <c:numCache>
                <c:formatCode>0.00%</c:formatCode>
                <c:ptCount val="3"/>
                <c:pt idx="0">
                  <c:v>0.9876</c:v>
                </c:pt>
                <c:pt idx="1">
                  <c:v>0.0105</c:v>
                </c:pt>
                <c:pt idx="2">
                  <c:v>0.0019</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6de507e8-fcb2-42f7-a54a-e23249c346d6}"/>
      </c:ext>
    </c:extLst>
  </c:chart>
  <c:txPr>
    <a:bodyPr/>
    <a:lstStyle/>
    <a:p>
      <a:pPr>
        <a:defRPr lang="zh-CN"/>
      </a:pPr>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0"/>
          <c:dPt>
            <c:idx val="0"/>
            <c:bubble3D val="0"/>
          </c:dPt>
          <c:dPt>
            <c:idx val="1"/>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extLst>
                <c:ext xmlns:c15="http://schemas.microsoft.com/office/drawing/2012/chart" uri="{02D57815-91ED-43cb-92C2-25804820EDAC}">
                  <c15:fullRef>
                    <c15:sqref>[数据对比.xlsx]Sheet3!$A$4:$A$8</c15:sqref>
                  </c15:fullRef>
                </c:ext>
              </c:extLst>
              <c:f>[数据对比.xlsx]Sheet3!$A$4:$A$5</c:f>
              <c:strCache>
                <c:ptCount val="2"/>
                <c:pt idx="0">
                  <c:v>基本支出</c:v>
                </c:pt>
                <c:pt idx="1">
                  <c:v>项目支出</c:v>
                </c:pt>
              </c:strCache>
            </c:strRef>
          </c:cat>
          <c:val>
            <c:numRef>
              <c:extLst>
                <c:ext xmlns:c15="http://schemas.microsoft.com/office/drawing/2012/chart" uri="{02D57815-91ED-43cb-92C2-25804820EDAC}">
                  <c15:fullRef>
                    <c15:sqref>Sheet3!$B$4:$B$8</c15:sqref>
                  </c15:fullRef>
                </c:ext>
              </c:extLst>
              <c:f>[数据对比.xlsx]Sheet3!$B$4:$B$5</c:f>
              <c:numCache>
                <c:formatCode>0.00%</c:formatCode>
                <c:ptCount val="2"/>
                <c:pt idx="0">
                  <c:v>0.7235</c:v>
                </c:pt>
                <c:pt idx="1">
                  <c:v>0.2765</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0613013e-d982-43ca-86ac-714577190834}"/>
      </c:ext>
    </c:extLst>
  </c:chart>
  <c:txPr>
    <a:bodyPr/>
    <a:lstStyle/>
    <a:p>
      <a:pPr>
        <a:defRPr lang="zh-CN"/>
      </a:pPr>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0.555</cdr:x>
      <cdr:y>0.04028</cdr:y>
    </cdr:from>
    <cdr:to>
      <cdr:x>0.78667</cdr:x>
      <cdr:y>0.1875</cdr:y>
    </cdr:to>
    <cdr:sp>
      <cdr:nvSpPr>
        <cdr:cNvPr id="2" name="矩形 1"/>
        <cdr:cNvSpPr/>
      </cdr:nvSpPr>
      <cdr:spPr xmlns:a="http://schemas.openxmlformats.org/drawingml/2006/main">
        <a:xfrm xmlns:a="http://schemas.openxmlformats.org/drawingml/2006/main">
          <a:off x="2537460" y="110490"/>
          <a:ext cx="1059180" cy="403860"/>
        </a:xfrm>
        <a:prstGeom xmlns:a="http://schemas.openxmlformats.org/drawingml/2006/main" prst="rect">
          <a:avLst/>
        </a:prstGeom>
      </cdr:spPr>
      <cdr:txBody xmlns:a="http://schemas.openxmlformats.org/drawingml/2006/main">
        <a:bodyPr vertOverflow="clip" vert="horz" wrap="square" lIns="45720" tIns="45720" rIns="45720" bIns="45720" rtlCol="0" anchor="t" anchorCtr="0">
          <a:normAutofit/>
        </a:bodyPr>
        <a:lstStyle>
          <a:defPPr>
            <a:defRPr lang="zh-CN"/>
          </a:defPPr>
          <a:lvl1pPr marL="0" algn="l" defTabSz="914400" rtl="0" eaLnBrk="1" latinLnBrk="0" hangingPunct="1">
            <a:defRPr sz="1100">
              <a:latin typeface="+mn-lt"/>
              <a:ea typeface="+mn-ea"/>
              <a:cs typeface="+mn-cs"/>
            </a:defRPr>
          </a:lvl1pPr>
          <a:lvl2pPr marL="457200" algn="l" defTabSz="914400" rtl="0" eaLnBrk="1" latinLnBrk="0" hangingPunct="1">
            <a:defRPr sz="1100">
              <a:latin typeface="+mn-lt"/>
              <a:ea typeface="+mn-ea"/>
              <a:cs typeface="+mn-cs"/>
            </a:defRPr>
          </a:lvl2pPr>
          <a:lvl3pPr marL="914400" algn="l" defTabSz="914400" rtl="0" eaLnBrk="1" latinLnBrk="0" hangingPunct="1">
            <a:defRPr sz="1100">
              <a:latin typeface="+mn-lt"/>
              <a:ea typeface="+mn-ea"/>
              <a:cs typeface="+mn-cs"/>
            </a:defRPr>
          </a:lvl3pPr>
          <a:lvl4pPr marL="1371600" algn="l" defTabSz="914400" rtl="0" eaLnBrk="1" latinLnBrk="0" hangingPunct="1">
            <a:defRPr sz="1100">
              <a:latin typeface="+mn-lt"/>
              <a:ea typeface="+mn-ea"/>
              <a:cs typeface="+mn-cs"/>
            </a:defRPr>
          </a:lvl4pPr>
          <a:lvl5pPr marL="1828800" algn="l" defTabSz="914400" rtl="0" eaLnBrk="1" latinLnBrk="0" hangingPunct="1">
            <a:defRPr sz="1100">
              <a:latin typeface="+mn-lt"/>
              <a:ea typeface="+mn-ea"/>
              <a:cs typeface="+mn-cs"/>
            </a:defRPr>
          </a:lvl5pPr>
          <a:lvl6pPr marL="2286000" algn="l" defTabSz="914400" rtl="0" eaLnBrk="1" latinLnBrk="0" hangingPunct="1">
            <a:defRPr sz="1100">
              <a:latin typeface="+mn-lt"/>
              <a:ea typeface="+mn-ea"/>
              <a:cs typeface="+mn-cs"/>
            </a:defRPr>
          </a:lvl6pPr>
          <a:lvl7pPr marL="2743200" algn="l" defTabSz="914400" rtl="0" eaLnBrk="1" latinLnBrk="0" hangingPunct="1">
            <a:defRPr sz="1100">
              <a:latin typeface="+mn-lt"/>
              <a:ea typeface="+mn-ea"/>
              <a:cs typeface="+mn-cs"/>
            </a:defRPr>
          </a:lvl7pPr>
          <a:lvl8pPr marL="3200400" algn="l" defTabSz="914400" rtl="0" eaLnBrk="1" latinLnBrk="0" hangingPunct="1">
            <a:defRPr sz="1100">
              <a:latin typeface="+mn-lt"/>
              <a:ea typeface="+mn-ea"/>
              <a:cs typeface="+mn-cs"/>
            </a:defRPr>
          </a:lvl8pPr>
          <a:lvl9pPr marL="3657600" algn="l" defTabSz="914400" rtl="0" eaLnBrk="1" latinLnBrk="0" hangingPunct="1">
            <a:defRPr sz="1100">
              <a:latin typeface="+mn-lt"/>
              <a:ea typeface="+mn-ea"/>
              <a:cs typeface="+mn-cs"/>
            </a:defRPr>
          </a:lvl9pPr>
        </a:lstStyle>
        <a:p>
          <a:r>
            <a:rPr lang="zh-CN" altLang="en-US" sz="1600"/>
            <a:t>收入决算</a:t>
          </a:r>
          <a:endParaRPr lang="zh-CN" altLang="en-US" sz="1600"/>
        </a:p>
      </cdr:txBody>
    </cdr:sp>
  </cdr:relSizeAnchor>
</c:userShapes>
</file>

<file path=word/drawings/drawing2.xml><?xml version="1.0" encoding="utf-8"?>
<c:userShapes xmlns:c="http://schemas.openxmlformats.org/drawingml/2006/chart">
  <cdr:relSizeAnchor xmlns:cdr="http://schemas.openxmlformats.org/drawingml/2006/chartDrawing">
    <cdr:from>
      <cdr:x>0.64333</cdr:x>
      <cdr:y>0.0319488888888889</cdr:y>
    </cdr:from>
    <cdr:to>
      <cdr:x>1</cdr:x>
      <cdr:y>0.190278888888889</cdr:y>
    </cdr:to>
    <cdr:sp>
      <cdr:nvSpPr>
        <cdr:cNvPr id="2" name="矩形 1"/>
        <cdr:cNvSpPr/>
      </cdr:nvSpPr>
      <cdr:spPr xmlns:a="http://schemas.openxmlformats.org/drawingml/2006/main">
        <a:xfrm xmlns:a="http://schemas.openxmlformats.org/drawingml/2006/main">
          <a:off x="2980522" y="87642"/>
          <a:ext cx="1652438" cy="434331"/>
        </a:xfrm>
        <a:prstGeom xmlns:a="http://schemas.openxmlformats.org/drawingml/2006/main" prst="rect">
          <a:avLst/>
        </a:prstGeom>
      </cdr:spPr>
      <cdr:txBody xmlns:a="http://schemas.openxmlformats.org/drawingml/2006/main">
        <a:bodyPr vertOverflow="clip" vert="horz" wrap="square" lIns="45720" tIns="45720" rIns="45720" bIns="45720" rtlCol="0" anchor="t" anchorCtr="0">
          <a:normAutofit/>
        </a:bodyPr>
        <a:lstStyle>
          <a:defPPr>
            <a:defRPr lang="zh-CN"/>
          </a:defPPr>
          <a:lvl1pPr marL="0" algn="l" defTabSz="914400" rtl="0" eaLnBrk="1" latinLnBrk="0" hangingPunct="1">
            <a:defRPr sz="1100">
              <a:latin typeface="+mn-lt"/>
              <a:ea typeface="+mn-ea"/>
              <a:cs typeface="+mn-cs"/>
            </a:defRPr>
          </a:lvl1pPr>
          <a:lvl2pPr marL="457200" algn="l" defTabSz="914400" rtl="0" eaLnBrk="1" latinLnBrk="0" hangingPunct="1">
            <a:defRPr sz="1100">
              <a:latin typeface="+mn-lt"/>
              <a:ea typeface="+mn-ea"/>
              <a:cs typeface="+mn-cs"/>
            </a:defRPr>
          </a:lvl2pPr>
          <a:lvl3pPr marL="914400" algn="l" defTabSz="914400" rtl="0" eaLnBrk="1" latinLnBrk="0" hangingPunct="1">
            <a:defRPr sz="1100">
              <a:latin typeface="+mn-lt"/>
              <a:ea typeface="+mn-ea"/>
              <a:cs typeface="+mn-cs"/>
            </a:defRPr>
          </a:lvl3pPr>
          <a:lvl4pPr marL="1371600" algn="l" defTabSz="914400" rtl="0" eaLnBrk="1" latinLnBrk="0" hangingPunct="1">
            <a:defRPr sz="1100">
              <a:latin typeface="+mn-lt"/>
              <a:ea typeface="+mn-ea"/>
              <a:cs typeface="+mn-cs"/>
            </a:defRPr>
          </a:lvl4pPr>
          <a:lvl5pPr marL="1828800" algn="l" defTabSz="914400" rtl="0" eaLnBrk="1" latinLnBrk="0" hangingPunct="1">
            <a:defRPr sz="1100">
              <a:latin typeface="+mn-lt"/>
              <a:ea typeface="+mn-ea"/>
              <a:cs typeface="+mn-cs"/>
            </a:defRPr>
          </a:lvl5pPr>
          <a:lvl6pPr marL="2286000" algn="l" defTabSz="914400" rtl="0" eaLnBrk="1" latinLnBrk="0" hangingPunct="1">
            <a:defRPr sz="1100">
              <a:latin typeface="+mn-lt"/>
              <a:ea typeface="+mn-ea"/>
              <a:cs typeface="+mn-cs"/>
            </a:defRPr>
          </a:lvl6pPr>
          <a:lvl7pPr marL="2743200" algn="l" defTabSz="914400" rtl="0" eaLnBrk="1" latinLnBrk="0" hangingPunct="1">
            <a:defRPr sz="1100">
              <a:latin typeface="+mn-lt"/>
              <a:ea typeface="+mn-ea"/>
              <a:cs typeface="+mn-cs"/>
            </a:defRPr>
          </a:lvl7pPr>
          <a:lvl8pPr marL="3200400" algn="l" defTabSz="914400" rtl="0" eaLnBrk="1" latinLnBrk="0" hangingPunct="1">
            <a:defRPr sz="1100">
              <a:latin typeface="+mn-lt"/>
              <a:ea typeface="+mn-ea"/>
              <a:cs typeface="+mn-cs"/>
            </a:defRPr>
          </a:lvl8pPr>
          <a:lvl9pPr marL="3657600" algn="l" defTabSz="914400" rtl="0" eaLnBrk="1" latinLnBrk="0" hangingPunct="1">
            <a:defRPr sz="1100">
              <a:latin typeface="+mn-lt"/>
              <a:ea typeface="+mn-ea"/>
              <a:cs typeface="+mn-cs"/>
            </a:defRPr>
          </a:lvl9pPr>
        </a:lstStyle>
        <a:p>
          <a:r>
            <a:rPr lang="zh-CN" altLang="en-US" sz="1600"/>
            <a:t>支出决算</a:t>
          </a:r>
          <a:endParaRPr lang="en-US" altLang="zh-CN" sz="1600"/>
        </a:p>
      </cdr:txBody>
    </cdr:sp>
  </cdr:relSizeAnchor>
</c:userShap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13</Pages>
  <Words>3926</Words>
  <Characters>4442</Characters>
  <Lines>29</Lines>
  <Paragraphs>8</Paragraphs>
  <TotalTime>21</TotalTime>
  <ScaleCrop>false</ScaleCrop>
  <LinksUpToDate>false</LinksUpToDate>
  <CharactersWithSpaces>4461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Mihx</cp:lastModifiedBy>
  <cp:lastPrinted>2025-09-05T01:54:32Z</cp:lastPrinted>
  <dcterms:modified xsi:type="dcterms:W3CDTF">2025-09-05T02:22:13Z</dcterms:modified>
  <dc:title>北京市财政局关于做好向市人大常委会报送2015年度市级部门决算（草案）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eyJoZGlkIjoiMGVmZTlhODk4MTk5NzlhNTE0Y2E4MGJmYmU1ZDIzOTEiLCJ1c2VySWQiOiIzMjQxODE4MDYifQ==</vt:lpwstr>
  </property>
</Properties>
</file>