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6A216">
      <w:pPr>
        <w:adjustRightInd w:val="0"/>
        <w:snapToGrid w:val="0"/>
        <w:spacing w:line="560" w:lineRule="exact"/>
        <w:jc w:val="left"/>
        <w:rPr>
          <w:rFonts w:hint="eastAsia" w:ascii="黑体" w:hAnsi="黑体" w:eastAsia="黑体"/>
          <w:sz w:val="32"/>
          <w:szCs w:val="32"/>
        </w:rPr>
      </w:pPr>
      <w:r>
        <w:rPr>
          <w:rFonts w:hint="eastAsia" w:ascii="黑体" w:hAnsi="黑体" w:eastAsia="黑体"/>
          <w:sz w:val="32"/>
          <w:szCs w:val="32"/>
        </w:rPr>
        <w:t>附件</w:t>
      </w:r>
    </w:p>
    <w:p w14:paraId="3732397E">
      <w:pPr>
        <w:adjustRightInd w:val="0"/>
        <w:snapToGrid w:val="0"/>
        <w:spacing w:line="560" w:lineRule="exact"/>
        <w:jc w:val="left"/>
        <w:rPr>
          <w:rFonts w:hint="eastAsia" w:ascii="黑体" w:hAnsi="黑体" w:eastAsia="黑体"/>
          <w:sz w:val="36"/>
          <w:szCs w:val="36"/>
        </w:rPr>
      </w:pPr>
    </w:p>
    <w:p w14:paraId="0AB7C999">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正式推荐对象主要事迹</w:t>
      </w:r>
    </w:p>
    <w:p w14:paraId="0C11AA98">
      <w:pPr>
        <w:adjustRightInd w:val="0"/>
        <w:snapToGrid w:val="0"/>
        <w:spacing w:line="560" w:lineRule="exact"/>
        <w:jc w:val="center"/>
        <w:rPr>
          <w:rFonts w:hint="eastAsia" w:ascii="仿宋_GB2312" w:eastAsia="仿宋_GB2312"/>
          <w:sz w:val="32"/>
          <w:szCs w:val="32"/>
        </w:rPr>
      </w:pPr>
    </w:p>
    <w:p w14:paraId="095D2C42">
      <w:pPr>
        <w:adjustRightInd w:val="0"/>
        <w:snapToGrid w:val="0"/>
        <w:spacing w:line="560" w:lineRule="exact"/>
        <w:ind w:left="630"/>
        <w:jc w:val="left"/>
        <w:rPr>
          <w:rFonts w:hint="eastAsia" w:ascii="黑体" w:hAnsi="黑体" w:eastAsia="黑体"/>
          <w:sz w:val="32"/>
          <w:szCs w:val="32"/>
        </w:rPr>
      </w:pPr>
      <w:r>
        <w:rPr>
          <w:rFonts w:hint="eastAsia" w:ascii="黑体" w:hAnsi="黑体" w:eastAsia="黑体"/>
          <w:sz w:val="32"/>
          <w:szCs w:val="32"/>
        </w:rPr>
        <w:t>一、先进集体主要事迹</w:t>
      </w:r>
    </w:p>
    <w:p w14:paraId="4FF88568">
      <w:pPr>
        <w:adjustRightInd w:val="0"/>
        <w:snapToGrid w:val="0"/>
        <w:spacing w:line="560" w:lineRule="exact"/>
        <w:ind w:left="630"/>
        <w:jc w:val="left"/>
        <w:rPr>
          <w:rFonts w:hint="eastAsia" w:ascii="楷体_GB2312" w:hAnsi="方正仿宋_GB2312" w:eastAsia="楷体_GB2312" w:cs="方正仿宋_GB2312"/>
          <w:sz w:val="32"/>
          <w:szCs w:val="32"/>
        </w:rPr>
      </w:pPr>
      <w:r>
        <w:rPr>
          <w:rFonts w:hint="eastAsia" w:ascii="楷体_GB2312" w:eastAsia="楷体_GB2312"/>
          <w:sz w:val="32"/>
          <w:szCs w:val="32"/>
        </w:rPr>
        <w:t>1.</w:t>
      </w:r>
      <w:r>
        <w:rPr>
          <w:rFonts w:hint="eastAsia" w:ascii="楷体_GB2312" w:hAnsi="方正仿宋_GB2312" w:eastAsia="楷体_GB2312" w:cs="方正仿宋_GB2312"/>
          <w:sz w:val="32"/>
          <w:szCs w:val="32"/>
        </w:rPr>
        <w:t>北京市民族宗教事务委员会民族一处</w:t>
      </w:r>
    </w:p>
    <w:p w14:paraId="733F9088">
      <w:pPr>
        <w:adjustRightInd w:val="0"/>
        <w:snapToGrid w:val="0"/>
        <w:spacing w:line="560" w:lineRule="exact"/>
        <w:ind w:firstLine="628" w:firstLineChars="199"/>
        <w:jc w:val="left"/>
        <w:rPr>
          <w:rFonts w:hint="eastAsia" w:ascii="仿宋_GB2312" w:eastAsia="仿宋_GB2312"/>
          <w:sz w:val="32"/>
          <w:szCs w:val="32"/>
        </w:rPr>
      </w:pPr>
      <w:r>
        <w:rPr>
          <w:rFonts w:hint="eastAsia" w:ascii="仿宋_GB2312" w:hAnsi="Times New Roman" w:eastAsia="仿宋_GB2312"/>
          <w:snapToGrid w:val="0"/>
          <w:spacing w:val="-2"/>
          <w:sz w:val="32"/>
          <w:szCs w:val="32"/>
        </w:rPr>
        <w:t>民族一处是北京市民宗委承担民族团结进步创建、铸牢中华民族共同体意识宣传教育、推进中华民族共有精神家园建设、推动互嵌式社会结构和社区环境建设等工作的处室。统筹人才案例资源，形成“智库”“成果库”。每年举办北京市铸牢中华民族共同体意识研讨会和大讲堂，吸引近3万人参与学习。高标准完成《中华民族交往交流交融史料汇编·北京卷》编纂，在31家博物馆基地融入铸牢元素，打造石榴花开美京城”“六大共同体”等民族工作特色品牌，累计参与人数过百万，传播量超2500万人次。多次完成服务保障民族工作领域重大活动，深入推进“九进”活动，着力培育了一批铸牢教育实践基地、示范单位。广泛开展“三交三好”活动，全面推进“和合社区”建设，鼓励和引导在京各族群众深度交往交流交融。</w:t>
      </w:r>
    </w:p>
    <w:p w14:paraId="4FFA315D">
      <w:pPr>
        <w:adjustRightInd w:val="0"/>
        <w:snapToGrid w:val="0"/>
        <w:spacing w:line="560" w:lineRule="exact"/>
        <w:ind w:firstLine="627" w:firstLineChars="196"/>
        <w:jc w:val="left"/>
        <w:rPr>
          <w:rFonts w:hint="eastAsia" w:ascii="楷体_GB2312" w:eastAsia="楷体_GB2312"/>
          <w:sz w:val="32"/>
          <w:szCs w:val="32"/>
        </w:rPr>
      </w:pPr>
      <w:r>
        <w:rPr>
          <w:rFonts w:hint="eastAsia" w:ascii="楷体_GB2312" w:eastAsia="楷体_GB2312"/>
          <w:sz w:val="32"/>
          <w:szCs w:val="32"/>
        </w:rPr>
        <w:t>2.</w:t>
      </w:r>
      <w:r>
        <w:rPr>
          <w:rFonts w:hint="eastAsia" w:ascii="楷体_GB2312" w:hAnsi="方正仿宋_GB2312" w:eastAsia="楷体_GB2312" w:cs="方正仿宋_GB2312"/>
          <w:sz w:val="32"/>
          <w:szCs w:val="32"/>
        </w:rPr>
        <w:t>中共北京市丰台区委统一战线工作部（丰台区民族宗教侨务办公室）</w:t>
      </w:r>
    </w:p>
    <w:p w14:paraId="61F6F9B8">
      <w:pPr>
        <w:adjustRightInd w:val="0"/>
        <w:snapToGrid w:val="0"/>
        <w:spacing w:line="560" w:lineRule="exact"/>
        <w:ind w:firstLine="628" w:firstLineChars="199"/>
        <w:jc w:val="left"/>
        <w:rPr>
          <w:rFonts w:hint="eastAsia" w:ascii="仿宋_GB2312" w:hAnsi="Times New Roman" w:eastAsia="仿宋_GB2312"/>
          <w:snapToGrid w:val="0"/>
          <w:spacing w:val="-2"/>
          <w:sz w:val="32"/>
          <w:szCs w:val="32"/>
        </w:rPr>
      </w:pPr>
      <w:r>
        <w:rPr>
          <w:rFonts w:hint="eastAsia" w:ascii="仿宋_GB2312" w:hAnsi="Times New Roman" w:eastAsia="仿宋_GB2312"/>
          <w:snapToGrid w:val="0"/>
          <w:spacing w:val="-2"/>
          <w:sz w:val="32"/>
          <w:szCs w:val="32"/>
        </w:rPr>
        <w:t>多年来，丰台区委统战部（区民宗侨办）始终以习近平新时代中国特色重要思想为指导，把做好新时代党的民族工作摆在突出位置，持续推动党中央关于民族工作的决策部署和市委工作要求在丰台区落实落细。率先构建民族工作三级网络体系，印发《丰台区民族</w:t>
      </w:r>
      <w:bookmarkStart w:id="0" w:name="_GoBack"/>
      <w:bookmarkEnd w:id="0"/>
      <w:r>
        <w:rPr>
          <w:rFonts w:hint="eastAsia" w:ascii="仿宋_GB2312" w:hAnsi="Times New Roman" w:eastAsia="仿宋_GB2312"/>
          <w:snapToGrid w:val="0"/>
          <w:spacing w:val="-2"/>
          <w:sz w:val="32"/>
          <w:szCs w:val="32"/>
        </w:rPr>
        <w:t>工作三级网络两级责任制试点实施方案》，压实“三级书记”第一责任，形成分工协作、上下联动格局。打造北京中华民族文化活动品牌，累计参与人数20万人次，网络话题阅读量2亿次。落实“三项计划”，开展“京蒙同心”等各族青少年双向研学活动，10批约2000人次，架起各族青少年民族团结“连心桥”。发挥“民企进边疆行动”积极作用，引导新发地等驻区企业做好产业对接，促进多地区农畜产品及人才往来，项目累计拉动年产值超11亿元。</w:t>
      </w:r>
    </w:p>
    <w:p w14:paraId="4C6F426A">
      <w:pPr>
        <w:adjustRightInd w:val="0"/>
        <w:snapToGrid w:val="0"/>
        <w:spacing w:line="560" w:lineRule="exact"/>
        <w:ind w:left="630"/>
        <w:jc w:val="left"/>
        <w:rPr>
          <w:rFonts w:hint="eastAsia" w:ascii="黑体" w:hAnsi="黑体" w:eastAsia="黑体"/>
          <w:sz w:val="32"/>
          <w:szCs w:val="32"/>
        </w:rPr>
      </w:pPr>
      <w:r>
        <w:rPr>
          <w:rFonts w:hint="eastAsia" w:ascii="黑体" w:hAnsi="黑体" w:eastAsia="黑体"/>
          <w:sz w:val="32"/>
          <w:szCs w:val="32"/>
        </w:rPr>
        <w:t>二、先进个人主要事迹</w:t>
      </w:r>
    </w:p>
    <w:p w14:paraId="28D59A71">
      <w:pPr>
        <w:adjustRightInd w:val="0"/>
        <w:snapToGrid w:val="0"/>
        <w:spacing w:line="560" w:lineRule="exact"/>
        <w:ind w:left="630"/>
        <w:jc w:val="left"/>
        <w:rPr>
          <w:rFonts w:hint="eastAsia" w:ascii="楷体_GB2312" w:eastAsia="楷体_GB2312"/>
          <w:sz w:val="32"/>
          <w:szCs w:val="32"/>
        </w:rPr>
      </w:pPr>
      <w:r>
        <w:rPr>
          <w:rFonts w:hint="eastAsia" w:ascii="楷体_GB2312" w:eastAsia="楷体_GB2312"/>
          <w:sz w:val="32"/>
          <w:szCs w:val="32"/>
        </w:rPr>
        <w:t>1.</w:t>
      </w:r>
      <w:r>
        <w:rPr>
          <w:rFonts w:hint="eastAsia" w:ascii="楷体_GB2312" w:hAnsi="方正仿宋_GB2312" w:eastAsia="楷体_GB2312" w:cs="方正仿宋_GB2312"/>
          <w:sz w:val="32"/>
          <w:szCs w:val="32"/>
        </w:rPr>
        <w:t>北京市</w:t>
      </w:r>
      <w:r>
        <w:rPr>
          <w:rFonts w:hint="eastAsia" w:ascii="楷体_GB2312" w:eastAsia="楷体_GB2312"/>
          <w:sz w:val="32"/>
          <w:szCs w:val="32"/>
        </w:rPr>
        <w:t>西城区民族宗教事务办公室民族科科长马宁</w:t>
      </w:r>
    </w:p>
    <w:p w14:paraId="3241CA6A">
      <w:pPr>
        <w:adjustRightInd w:val="0"/>
        <w:snapToGrid w:val="0"/>
        <w:spacing w:line="560" w:lineRule="exact"/>
        <w:ind w:firstLine="628" w:firstLineChars="199"/>
        <w:jc w:val="left"/>
        <w:rPr>
          <w:rFonts w:hint="eastAsia" w:ascii="仿宋_GB2312" w:hAnsi="Times New Roman" w:eastAsia="仿宋_GB2312"/>
          <w:snapToGrid w:val="0"/>
          <w:spacing w:val="-2"/>
          <w:sz w:val="32"/>
          <w:szCs w:val="32"/>
        </w:rPr>
      </w:pPr>
      <w:r>
        <w:rPr>
          <w:rFonts w:hint="eastAsia" w:ascii="仿宋_GB2312" w:hAnsi="Times New Roman" w:eastAsia="仿宋_GB2312"/>
          <w:snapToGrid w:val="0"/>
          <w:spacing w:val="-2"/>
          <w:sz w:val="32"/>
          <w:szCs w:val="32"/>
        </w:rPr>
        <w:t>从事民族工作19年，始终奋战在一线，热爱民族团结进步事业。政治素质好、主动作为，坚定以铸牢中华民族共同体意识为主线，为做好城市民族工作贡献力量。坚持理论联系实际，开展各级各类宣传教育培训覆盖3500余人次。全力维护区域稳定，参与民族节日服务保障70余次。注重谋划研究，设计5条“铸牢”主题文旅线路，串联19个点位，探索旅游促“三交”西城路径。积极策划民族团结宣传月活动，推动全区开展主题活动1200余场，覆盖14.85万人次，形成“三交三好铸团结”工作品牌。推进区政府与民族文化宫成功签订合作框架协议。群众基础好，工作作风实，连续两年举办主题宣讲活动，以“身边人讲身边事”，印发故事汇手册6000册。</w:t>
      </w:r>
    </w:p>
    <w:p w14:paraId="7B7DC1BE">
      <w:pPr>
        <w:adjustRightInd w:val="0"/>
        <w:snapToGrid w:val="0"/>
        <w:spacing w:line="560" w:lineRule="exact"/>
        <w:ind w:left="630"/>
        <w:jc w:val="left"/>
        <w:rPr>
          <w:rFonts w:hint="eastAsia" w:ascii="楷体_GB2312" w:eastAsia="楷体_GB2312"/>
          <w:spacing w:val="-8"/>
          <w:sz w:val="32"/>
          <w:szCs w:val="32"/>
        </w:rPr>
      </w:pPr>
      <w:r>
        <w:rPr>
          <w:rFonts w:hint="eastAsia" w:ascii="楷体_GB2312" w:eastAsia="楷体_GB2312"/>
          <w:spacing w:val="-8"/>
          <w:sz w:val="32"/>
          <w:szCs w:val="32"/>
        </w:rPr>
        <w:t>2.</w:t>
      </w:r>
      <w:r>
        <w:rPr>
          <w:rFonts w:hint="eastAsia" w:ascii="楷体_GB2312" w:hAnsi="方正仿宋_GB2312" w:eastAsia="楷体_GB2312" w:cs="方正仿宋_GB2312"/>
          <w:spacing w:val="-8"/>
          <w:sz w:val="32"/>
          <w:szCs w:val="32"/>
        </w:rPr>
        <w:t>北京</w:t>
      </w:r>
      <w:r>
        <w:rPr>
          <w:rFonts w:hint="eastAsia" w:ascii="楷体_GB2312" w:eastAsia="楷体_GB2312"/>
          <w:spacing w:val="-8"/>
          <w:sz w:val="32"/>
          <w:szCs w:val="32"/>
        </w:rPr>
        <w:t>市民族团结进步促进中心融媒体宣传部部长武正华</w:t>
      </w:r>
    </w:p>
    <w:p w14:paraId="083CA8D4">
      <w:pPr>
        <w:adjustRightInd w:val="0"/>
        <w:snapToGrid w:val="0"/>
        <w:spacing w:line="560" w:lineRule="exact"/>
        <w:ind w:firstLine="628" w:firstLineChars="199"/>
        <w:jc w:val="left"/>
        <w:rPr>
          <w:rFonts w:hint="eastAsia" w:ascii="楷体_GB2312" w:eastAsia="楷体_GB2312"/>
          <w:spacing w:val="-8"/>
          <w:sz w:val="32"/>
          <w:szCs w:val="32"/>
        </w:rPr>
      </w:pPr>
      <w:r>
        <w:rPr>
          <w:rFonts w:hint="eastAsia" w:ascii="仿宋_GB2312" w:hAnsi="Times New Roman" w:eastAsia="仿宋_GB2312"/>
          <w:snapToGrid w:val="0"/>
          <w:spacing w:val="-2"/>
          <w:sz w:val="32"/>
          <w:szCs w:val="32"/>
        </w:rPr>
        <w:t>作为首都民族工作“排头兵”，她十九年扎根基层，获北京市筹备和服务保障新中国成立70周年庆祝活动先进个人等多项荣誉。她勇担使命，参与新中国成立60、70周年等重大活动及多届民族盛会组织。推动北京市民族健身操舞大赛连办二十届，超20万人次参与，获评“市级优秀群众品牌活动”，2023年边疆青少年冬令营获国家民委“三好”批示。情系边疆，2020年牵头落实京玉共建协议后，她多次赴玉树，推动建成2个“京玉民族团结进步示范社区”，协助帮扶10名学生，制作42集藏汉双语视频、策划京玉共建活动，以“文化+经济”深化协作。创新破局，她推动构建“荟萃56”融媒体品牌，全平台矩阵宣发成果丰硕，2023年项目浏览量超百万，2024年专题阅读量破3000万。十九载坚守，她以“先锋姿态”诠释着一名民族工作者的初心与使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2B2A75-AFA1-4512-B21C-B75BD849BB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3934A9C-C0A7-4E39-AA2D-8515DC7D0839}"/>
  </w:font>
  <w:font w:name="方正仿宋_GB2312">
    <w:panose1 w:val="02000000000000000000"/>
    <w:charset w:val="86"/>
    <w:family w:val="auto"/>
    <w:pitch w:val="default"/>
    <w:sig w:usb0="A00002BF" w:usb1="184F6CFA" w:usb2="00000012" w:usb3="00000000" w:csb0="00040001" w:csb1="00000000"/>
    <w:embedRegular r:id="rId3" w:fontKey="{356C09B8-E626-483F-B7EA-6D79F0DCDA55}"/>
  </w:font>
  <w:font w:name="方正小标宋简体">
    <w:panose1 w:val="02000000000000000000"/>
    <w:charset w:val="86"/>
    <w:family w:val="script"/>
    <w:pitch w:val="default"/>
    <w:sig w:usb0="00000001" w:usb1="08000000" w:usb2="00000000" w:usb3="00000000" w:csb0="00040000" w:csb1="00000000"/>
    <w:embedRegular r:id="rId4" w:fontKey="{7C548DC7-DA4C-4A31-8FFF-FE1C311D5AB1}"/>
  </w:font>
  <w:font w:name="仿宋_GB2312">
    <w:altName w:val="仿宋"/>
    <w:panose1 w:val="02010609030101010101"/>
    <w:charset w:val="86"/>
    <w:family w:val="modern"/>
    <w:pitch w:val="default"/>
    <w:sig w:usb0="00000000" w:usb1="00000000" w:usb2="00000010" w:usb3="00000000" w:csb0="00040000" w:csb1="00000000"/>
    <w:embedRegular r:id="rId5" w:fontKey="{F0F70E78-5DA8-4FCE-B59A-EF12C0F5BC21}"/>
  </w:font>
  <w:font w:name="楷体_GB2312">
    <w:altName w:val="楷体"/>
    <w:panose1 w:val="02010609030101010101"/>
    <w:charset w:val="86"/>
    <w:family w:val="modern"/>
    <w:pitch w:val="default"/>
    <w:sig w:usb0="00000000" w:usb1="00000000" w:usb2="00000010" w:usb3="00000000" w:csb0="00040000" w:csb1="00000000"/>
    <w:embedRegular r:id="rId6" w:fontKey="{D38E21FD-D822-4730-B342-3FB5F0104F3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79649"/>
      <w:docPartObj>
        <w:docPartGallery w:val="AutoText"/>
      </w:docPartObj>
    </w:sdtPr>
    <w:sdtContent>
      <w:p w14:paraId="69A56067">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33796E9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CE"/>
    <w:rsid w:val="00081F4E"/>
    <w:rsid w:val="000E33CE"/>
    <w:rsid w:val="000F3F62"/>
    <w:rsid w:val="002C793F"/>
    <w:rsid w:val="00386252"/>
    <w:rsid w:val="003A70EF"/>
    <w:rsid w:val="007C4D4A"/>
    <w:rsid w:val="00830433"/>
    <w:rsid w:val="00A34372"/>
    <w:rsid w:val="00C8289E"/>
    <w:rsid w:val="00D042F1"/>
    <w:rsid w:val="00D207AA"/>
    <w:rsid w:val="1F9F033C"/>
    <w:rsid w:val="715F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1374</Words>
  <Characters>1426</Characters>
  <Lines>10</Lines>
  <Paragraphs>2</Paragraphs>
  <TotalTime>137</TotalTime>
  <ScaleCrop>false</ScaleCrop>
  <LinksUpToDate>false</LinksUpToDate>
  <CharactersWithSpaces>1426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2025-10-13T03:56:00Z</dcterms:created>
  <dc:creator>user</dc:creator>
  <cp:lastModifiedBy>Chting</cp:lastModifiedBy>
  <dcterms:modified xsi:type="dcterms:W3CDTF">2025-10-20T07:53:44Z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BBC97B0A7A4D4A0E9A447F95008AA06B_13</vt:lpwstr>
  </property>
</Properties>
</file>