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797" w:rsidRDefault="00A26797"/>
    <w:p w:rsidR="00656EE9" w:rsidRPr="00656EE9" w:rsidRDefault="00656EE9" w:rsidP="00656EE9">
      <w:pPr>
        <w:widowControl/>
        <w:pBdr>
          <w:bottom w:val="single" w:sz="18" w:space="0" w:color="FEA904"/>
        </w:pBdr>
        <w:shd w:val="clear" w:color="auto" w:fill="FFFFFF"/>
        <w:spacing w:before="100" w:beforeAutospacing="1" w:after="100" w:afterAutospacing="1" w:line="735" w:lineRule="atLeast"/>
        <w:jc w:val="left"/>
        <w:outlineLvl w:val="2"/>
        <w:rPr>
          <w:rFonts w:ascii="微软雅黑" w:eastAsia="微软雅黑" w:hAnsi="微软雅黑" w:cs="宋体"/>
          <w:b/>
          <w:bCs/>
          <w:kern w:val="0"/>
          <w:sz w:val="36"/>
          <w:szCs w:val="36"/>
        </w:rPr>
      </w:pPr>
      <w:r w:rsidRPr="00656EE9">
        <w:rPr>
          <w:rFonts w:ascii="微软雅黑" w:eastAsia="微软雅黑" w:hAnsi="微软雅黑" w:cs="宋体" w:hint="eastAsia"/>
          <w:b/>
          <w:bCs/>
          <w:kern w:val="0"/>
          <w:sz w:val="36"/>
          <w:szCs w:val="36"/>
        </w:rPr>
        <w:t>北京市</w:t>
      </w:r>
      <w:r w:rsidR="00DA3315">
        <w:rPr>
          <w:rFonts w:ascii="微软雅黑" w:eastAsia="微软雅黑" w:hAnsi="微软雅黑" w:cs="宋体" w:hint="eastAsia"/>
          <w:b/>
          <w:bCs/>
          <w:kern w:val="0"/>
          <w:sz w:val="36"/>
          <w:szCs w:val="36"/>
        </w:rPr>
        <w:t>民族宗教事务委员会</w:t>
      </w:r>
      <w:r w:rsidRPr="00656EE9">
        <w:rPr>
          <w:rFonts w:ascii="微软雅黑" w:eastAsia="微软雅黑" w:hAnsi="微软雅黑" w:cs="宋体" w:hint="eastAsia"/>
          <w:b/>
          <w:bCs/>
          <w:kern w:val="0"/>
          <w:sz w:val="36"/>
          <w:szCs w:val="36"/>
        </w:rPr>
        <w:t>行政职权运行通用责任清单</w:t>
      </w:r>
    </w:p>
    <w:tbl>
      <w:tblPr>
        <w:tblW w:w="8833"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53"/>
        <w:gridCol w:w="1407"/>
        <w:gridCol w:w="33"/>
        <w:gridCol w:w="6840"/>
      </w:tblGrid>
      <w:tr w:rsidR="00656EE9" w:rsidRPr="00656EE9" w:rsidTr="00DA3315">
        <w:trPr>
          <w:trHeight w:val="747"/>
          <w:jc w:val="center"/>
        </w:trPr>
        <w:tc>
          <w:tcPr>
            <w:tcW w:w="8833"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一、行政许可类行政职权运行通用责任</w:t>
            </w:r>
          </w:p>
        </w:tc>
      </w:tr>
      <w:tr w:rsidR="00656EE9" w:rsidRPr="00656EE9" w:rsidTr="00DA3315">
        <w:trPr>
          <w:trHeight w:val="747"/>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序号</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运行环节</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责任事项</w:t>
            </w:r>
          </w:p>
        </w:tc>
      </w:tr>
      <w:tr w:rsidR="00656EE9" w:rsidRPr="00656EE9" w:rsidTr="00DA3315">
        <w:trPr>
          <w:trHeight w:val="746"/>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1</w:t>
            </w:r>
          </w:p>
        </w:tc>
        <w:tc>
          <w:tcPr>
            <w:tcW w:w="1440" w:type="dxa"/>
            <w:gridSpan w:val="2"/>
            <w:vMerge w:val="restart"/>
            <w:tcBorders>
              <w:top w:val="nil"/>
              <w:left w:val="nil"/>
              <w:bottom w:val="nil"/>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sz w:val="24"/>
                <w:szCs w:val="24"/>
              </w:rPr>
              <w:t>(</w:t>
            </w:r>
            <w:proofErr w:type="gramStart"/>
            <w:r w:rsidRPr="00656EE9">
              <w:rPr>
                <w:rFonts w:ascii="宋体" w:eastAsia="宋体" w:hAnsi="宋体" w:cs="宋体" w:hint="eastAsia"/>
                <w:b/>
                <w:bCs/>
                <w:kern w:val="0"/>
                <w:sz w:val="24"/>
                <w:szCs w:val="24"/>
              </w:rPr>
              <w:t>一</w:t>
            </w:r>
            <w:proofErr w:type="gramEnd"/>
            <w:r w:rsidRPr="00656EE9">
              <w:rPr>
                <w:rFonts w:ascii="宋体" w:eastAsia="宋体" w:hAnsi="宋体" w:cs="宋体" w:hint="eastAsia"/>
                <w:b/>
                <w:bCs/>
                <w:kern w:val="0"/>
                <w:sz w:val="24"/>
                <w:szCs w:val="24"/>
              </w:rPr>
              <w:t>)受理</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接收申请人提交的材料。若申请人提交的申请材料不齐全、不符合法定形式,应当一次性告知申请人必须补正的全部内容。</w:t>
            </w:r>
          </w:p>
        </w:tc>
      </w:tr>
      <w:tr w:rsidR="00656EE9" w:rsidRPr="00656EE9" w:rsidTr="00DA3315">
        <w:trPr>
          <w:trHeight w:val="56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2</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 xml:space="preserve">受理或者不予受理行政许可申请,应当出具加盖行政机关专用印章和注明日期的书面凭证。 </w:t>
            </w:r>
          </w:p>
        </w:tc>
      </w:tr>
      <w:tr w:rsidR="00656EE9" w:rsidRPr="00656EE9" w:rsidTr="00DA3315">
        <w:trPr>
          <w:trHeight w:val="480"/>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3</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依法说明不受理行政许可申请或者不予行政许可的理由。</w:t>
            </w:r>
          </w:p>
        </w:tc>
      </w:tr>
      <w:tr w:rsidR="00656EE9" w:rsidRPr="00656EE9" w:rsidTr="00DA3315">
        <w:trPr>
          <w:trHeight w:val="730"/>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4</w:t>
            </w:r>
          </w:p>
        </w:tc>
        <w:tc>
          <w:tcPr>
            <w:tcW w:w="1440" w:type="dxa"/>
            <w:gridSpan w:val="2"/>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b/>
                <w:bCs/>
                <w:kern w:val="0"/>
                <w:szCs w:val="21"/>
              </w:rPr>
              <w:t>(二)审查</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申请人提交的申请材料齐全、符合法定形式,能够当场</w:t>
            </w:r>
            <w:proofErr w:type="gramStart"/>
            <w:r w:rsidRPr="00656EE9">
              <w:rPr>
                <w:rFonts w:ascii="宋体" w:eastAsia="宋体" w:hAnsi="宋体" w:cs="宋体"/>
                <w:kern w:val="0"/>
                <w:szCs w:val="21"/>
              </w:rPr>
              <w:t>作出</w:t>
            </w:r>
            <w:proofErr w:type="gramEnd"/>
            <w:r w:rsidRPr="00656EE9">
              <w:rPr>
                <w:rFonts w:ascii="宋体" w:eastAsia="宋体" w:hAnsi="宋体" w:cs="宋体"/>
                <w:kern w:val="0"/>
                <w:szCs w:val="21"/>
              </w:rPr>
              <w:t>决定的,当场</w:t>
            </w:r>
            <w:proofErr w:type="gramStart"/>
            <w:r w:rsidRPr="00656EE9">
              <w:rPr>
                <w:rFonts w:ascii="宋体" w:eastAsia="宋体" w:hAnsi="宋体" w:cs="宋体"/>
                <w:kern w:val="0"/>
                <w:szCs w:val="21"/>
              </w:rPr>
              <w:t>作出</w:t>
            </w:r>
            <w:proofErr w:type="gramEnd"/>
            <w:r w:rsidRPr="00656EE9">
              <w:rPr>
                <w:rFonts w:ascii="宋体" w:eastAsia="宋体" w:hAnsi="宋体" w:cs="宋体"/>
                <w:kern w:val="0"/>
                <w:szCs w:val="21"/>
              </w:rPr>
              <w:t xml:space="preserve">书面的行政许可决定。 </w:t>
            </w:r>
          </w:p>
        </w:tc>
      </w:tr>
      <w:tr w:rsidR="00656EE9" w:rsidRPr="00656EE9" w:rsidTr="00DA3315">
        <w:trPr>
          <w:trHeight w:val="768"/>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5</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根据法定条件和程序,需要对申请材料的实质内容进行核实的,行政机关应当指派2名以上工作人员进行核查。</w:t>
            </w:r>
          </w:p>
        </w:tc>
      </w:tr>
      <w:tr w:rsidR="00656EE9" w:rsidRPr="00656EE9" w:rsidTr="00DA3315">
        <w:trPr>
          <w:trHeight w:val="505"/>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6</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需依法举行听证的应当依法举行听证。</w:t>
            </w:r>
          </w:p>
        </w:tc>
      </w:tr>
      <w:tr w:rsidR="00656EE9" w:rsidRPr="00656EE9" w:rsidTr="00DA3315">
        <w:trPr>
          <w:trHeight w:val="686"/>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7</w:t>
            </w:r>
          </w:p>
        </w:tc>
        <w:tc>
          <w:tcPr>
            <w:tcW w:w="1440" w:type="dxa"/>
            <w:gridSpan w:val="2"/>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b/>
                <w:bCs/>
                <w:kern w:val="0"/>
                <w:szCs w:val="21"/>
              </w:rPr>
              <w:t>(三)决定</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对符合法定条件的申请人应</w:t>
            </w:r>
            <w:r w:rsidR="00D82FC0">
              <w:rPr>
                <w:rFonts w:ascii="宋体" w:eastAsia="宋体" w:hAnsi="宋体" w:cs="宋体"/>
                <w:color w:val="000000"/>
                <w:kern w:val="0"/>
                <w:szCs w:val="21"/>
              </w:rPr>
              <w:t>当在法定职权范围和期限内</w:t>
            </w:r>
            <w:proofErr w:type="gramStart"/>
            <w:r w:rsidRPr="00656EE9">
              <w:rPr>
                <w:rFonts w:ascii="宋体" w:eastAsia="宋体" w:hAnsi="宋体" w:cs="宋体"/>
                <w:color w:val="000000"/>
                <w:kern w:val="0"/>
                <w:szCs w:val="21"/>
              </w:rPr>
              <w:t>作出</w:t>
            </w:r>
            <w:proofErr w:type="gramEnd"/>
            <w:r w:rsidRPr="00656EE9">
              <w:rPr>
                <w:rFonts w:ascii="宋体" w:eastAsia="宋体" w:hAnsi="宋体" w:cs="宋体"/>
                <w:color w:val="000000"/>
                <w:kern w:val="0"/>
                <w:szCs w:val="21"/>
              </w:rPr>
              <w:t>准予</w:t>
            </w:r>
            <w:r w:rsidRPr="00656EE9">
              <w:rPr>
                <w:rFonts w:ascii="宋体" w:eastAsia="宋体" w:hAnsi="宋体" w:cs="宋体"/>
                <w:kern w:val="0"/>
                <w:szCs w:val="21"/>
              </w:rPr>
              <w:t>行政许可的决定。</w:t>
            </w:r>
          </w:p>
        </w:tc>
      </w:tr>
      <w:tr w:rsidR="00656EE9" w:rsidRPr="00656EE9" w:rsidTr="00DA3315">
        <w:trPr>
          <w:trHeight w:val="817"/>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951B02" w:rsidP="00656EE9">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lastRenderedPageBreak/>
              <w:t>8</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依法</w:t>
            </w:r>
            <w:proofErr w:type="gramStart"/>
            <w:r w:rsidRPr="00656EE9">
              <w:rPr>
                <w:rFonts w:ascii="宋体" w:eastAsia="宋体" w:hAnsi="宋体" w:cs="宋体"/>
                <w:kern w:val="0"/>
                <w:szCs w:val="21"/>
              </w:rPr>
              <w:t>作出</w:t>
            </w:r>
            <w:proofErr w:type="gramEnd"/>
            <w:r w:rsidRPr="00656EE9">
              <w:rPr>
                <w:rFonts w:ascii="宋体" w:eastAsia="宋体" w:hAnsi="宋体" w:cs="宋体"/>
                <w:kern w:val="0"/>
                <w:szCs w:val="21"/>
              </w:rPr>
              <w:t xml:space="preserve">不予行政许可的书面决定的,应当说明理由,并告知申请人享有依法申请行政复议或者提起行政诉讼的权利。 </w:t>
            </w:r>
          </w:p>
        </w:tc>
      </w:tr>
      <w:tr w:rsidR="00656EE9" w:rsidRPr="00656EE9" w:rsidTr="00DA3315">
        <w:trPr>
          <w:trHeight w:val="567"/>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951B02" w:rsidP="00656EE9">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D82FC0">
            <w:pPr>
              <w:widowControl/>
              <w:spacing w:before="100" w:beforeAutospacing="1" w:after="100" w:afterAutospacing="1"/>
              <w:jc w:val="left"/>
              <w:rPr>
                <w:rFonts w:ascii="宋体" w:eastAsia="宋体" w:hAnsi="宋体" w:cs="宋体"/>
                <w:kern w:val="0"/>
                <w:sz w:val="24"/>
                <w:szCs w:val="24"/>
              </w:rPr>
            </w:pPr>
            <w:proofErr w:type="gramStart"/>
            <w:r w:rsidRPr="00656EE9">
              <w:rPr>
                <w:rFonts w:ascii="宋体" w:eastAsia="宋体" w:hAnsi="宋体" w:cs="宋体"/>
                <w:kern w:val="0"/>
                <w:szCs w:val="21"/>
              </w:rPr>
              <w:t>作出</w:t>
            </w:r>
            <w:proofErr w:type="gramEnd"/>
            <w:r w:rsidRPr="00656EE9">
              <w:rPr>
                <w:rFonts w:ascii="宋体" w:eastAsia="宋体" w:hAnsi="宋体" w:cs="宋体"/>
                <w:kern w:val="0"/>
                <w:szCs w:val="21"/>
              </w:rPr>
              <w:t xml:space="preserve">的准予行政许可决定,应当予以公开。 </w:t>
            </w:r>
          </w:p>
        </w:tc>
      </w:tr>
      <w:tr w:rsidR="00656EE9" w:rsidRPr="00656EE9" w:rsidTr="00DA3315">
        <w:trPr>
          <w:trHeight w:val="56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1</w:t>
            </w:r>
            <w:r w:rsidR="00951B02">
              <w:rPr>
                <w:rFonts w:ascii="宋体" w:eastAsia="宋体" w:hAnsi="宋体" w:cs="宋体" w:hint="eastAsia"/>
                <w:kern w:val="0"/>
                <w:sz w:val="24"/>
                <w:szCs w:val="24"/>
              </w:rPr>
              <w:t>0</w:t>
            </w:r>
          </w:p>
        </w:tc>
        <w:tc>
          <w:tcPr>
            <w:tcW w:w="1440" w:type="dxa"/>
            <w:gridSpan w:val="2"/>
            <w:vMerge w:val="restart"/>
            <w:tcBorders>
              <w:top w:val="nil"/>
              <w:left w:val="nil"/>
              <w:bottom w:val="single" w:sz="8" w:space="0" w:color="000000"/>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b/>
                <w:bCs/>
                <w:kern w:val="0"/>
                <w:szCs w:val="21"/>
              </w:rPr>
              <w:t>(四)送达</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送达行政执法文书应当有送达回证,受送达人在送达回证上的签收日期为送达日期。</w:t>
            </w:r>
          </w:p>
        </w:tc>
      </w:tr>
      <w:tr w:rsidR="00656EE9" w:rsidRPr="00656EE9" w:rsidTr="00DA3315">
        <w:trPr>
          <w:trHeight w:val="431"/>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1</w:t>
            </w:r>
            <w:r w:rsidR="00951B02">
              <w:rPr>
                <w:rFonts w:ascii="宋体" w:eastAsia="宋体" w:hAnsi="宋体" w:cs="宋体" w:hint="eastAsia"/>
                <w:kern w:val="0"/>
                <w:sz w:val="24"/>
                <w:szCs w:val="24"/>
              </w:rPr>
              <w:t>1</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送达程序参照民事诉讼法有关规定执行。</w:t>
            </w:r>
          </w:p>
        </w:tc>
      </w:tr>
      <w:tr w:rsidR="00656EE9" w:rsidRPr="00656EE9" w:rsidTr="00DA3315">
        <w:trPr>
          <w:trHeight w:val="55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kern w:val="0"/>
                <w:sz w:val="24"/>
                <w:szCs w:val="24"/>
              </w:rPr>
              <w:t>1</w:t>
            </w:r>
            <w:r w:rsidR="00951B02">
              <w:rPr>
                <w:rFonts w:ascii="宋体" w:eastAsia="宋体" w:hAnsi="宋体" w:cs="宋体" w:hint="eastAsia"/>
                <w:kern w:val="0"/>
                <w:sz w:val="24"/>
                <w:szCs w:val="24"/>
              </w:rPr>
              <w:t>2</w:t>
            </w:r>
          </w:p>
        </w:tc>
        <w:tc>
          <w:tcPr>
            <w:tcW w:w="144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b/>
                <w:bCs/>
                <w:kern w:val="0"/>
                <w:szCs w:val="21"/>
              </w:rPr>
              <w:t>(五)事后监管</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 xml:space="preserve">建立健全监督制度,通过核查反映被许可人从事行政许可事项活动情况的有关材料,履行监督责任。 </w:t>
            </w:r>
          </w:p>
        </w:tc>
      </w:tr>
      <w:tr w:rsidR="00656EE9" w:rsidRPr="00656EE9" w:rsidTr="00DA3315">
        <w:trPr>
          <w:trHeight w:val="56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hint="eastAsia"/>
                <w:kern w:val="0"/>
                <w:sz w:val="24"/>
                <w:szCs w:val="24"/>
              </w:rPr>
              <w:t>1</w:t>
            </w:r>
            <w:r w:rsidR="00951B02">
              <w:rPr>
                <w:rFonts w:ascii="宋体" w:eastAsia="宋体" w:hAnsi="宋体" w:cs="宋体" w:hint="eastAsia"/>
                <w:kern w:val="0"/>
                <w:sz w:val="24"/>
                <w:szCs w:val="24"/>
              </w:rPr>
              <w:t>3</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D82FC0">
            <w:pPr>
              <w:widowControl/>
              <w:spacing w:before="100" w:beforeAutospacing="1" w:after="100" w:afterAutospacing="1"/>
              <w:jc w:val="left"/>
              <w:rPr>
                <w:rFonts w:ascii="宋体" w:eastAsia="宋体" w:hAnsi="宋体" w:cs="宋体"/>
                <w:kern w:val="0"/>
                <w:sz w:val="24"/>
                <w:szCs w:val="24"/>
              </w:rPr>
            </w:pPr>
            <w:r w:rsidRPr="00656EE9">
              <w:rPr>
                <w:rFonts w:ascii="宋体" w:eastAsia="宋体" w:hAnsi="宋体" w:cs="宋体"/>
                <w:kern w:val="0"/>
                <w:szCs w:val="21"/>
              </w:rPr>
              <w:t>建立随机抽查制度,对被许可人</w:t>
            </w:r>
            <w:r w:rsidR="00D82FC0">
              <w:rPr>
                <w:rFonts w:ascii="宋体" w:eastAsia="宋体" w:hAnsi="宋体" w:cs="宋体" w:hint="eastAsia"/>
                <w:kern w:val="0"/>
                <w:szCs w:val="21"/>
              </w:rPr>
              <w:t>开展行政</w:t>
            </w:r>
            <w:r w:rsidRPr="00656EE9">
              <w:rPr>
                <w:rFonts w:ascii="宋体" w:eastAsia="宋体" w:hAnsi="宋体" w:cs="宋体"/>
                <w:kern w:val="0"/>
                <w:szCs w:val="21"/>
              </w:rPr>
              <w:t>检查。</w:t>
            </w:r>
          </w:p>
        </w:tc>
      </w:tr>
      <w:tr w:rsidR="00656EE9" w:rsidRPr="00656EE9" w:rsidTr="00DA3315">
        <w:trPr>
          <w:trHeight w:val="747"/>
          <w:jc w:val="center"/>
        </w:trPr>
        <w:tc>
          <w:tcPr>
            <w:tcW w:w="883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DA3315" w:rsidP="00656EE9">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rPr>
              <w:t>二</w:t>
            </w:r>
            <w:r w:rsidR="00656EE9" w:rsidRPr="00656EE9">
              <w:rPr>
                <w:rFonts w:ascii="宋体" w:eastAsia="宋体" w:hAnsi="宋体" w:cs="宋体" w:hint="eastAsia"/>
                <w:b/>
                <w:bCs/>
                <w:kern w:val="0"/>
              </w:rPr>
              <w:t>、行政确认类行政职权运行通用责任清单</w:t>
            </w:r>
          </w:p>
        </w:tc>
      </w:tr>
      <w:tr w:rsidR="00656EE9" w:rsidRPr="00656EE9" w:rsidTr="00DA3315">
        <w:trPr>
          <w:trHeight w:val="747"/>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sz w:val="24"/>
                <w:szCs w:val="24"/>
              </w:rPr>
              <w:t>序号</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sz w:val="24"/>
                <w:szCs w:val="24"/>
              </w:rPr>
              <w:t>运行环节</w:t>
            </w: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sz w:val="24"/>
                <w:szCs w:val="24"/>
              </w:rPr>
              <w:t>责任事项</w:t>
            </w:r>
          </w:p>
        </w:tc>
      </w:tr>
      <w:tr w:rsidR="00656EE9" w:rsidRPr="00656EE9" w:rsidTr="00DA3315">
        <w:trPr>
          <w:trHeight w:val="53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1</w:t>
            </w:r>
          </w:p>
        </w:tc>
        <w:tc>
          <w:tcPr>
            <w:tcW w:w="14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w:t>
            </w:r>
            <w:proofErr w:type="gramStart"/>
            <w:r w:rsidRPr="00656EE9">
              <w:rPr>
                <w:rFonts w:ascii="宋体" w:eastAsia="宋体" w:hAnsi="宋体" w:cs="宋体"/>
                <w:b/>
                <w:bCs/>
                <w:kern w:val="0"/>
                <w:szCs w:val="21"/>
              </w:rPr>
              <w:t>一</w:t>
            </w:r>
            <w:proofErr w:type="gramEnd"/>
            <w:r w:rsidRPr="00656EE9">
              <w:rPr>
                <w:rFonts w:ascii="宋体" w:eastAsia="宋体" w:hAnsi="宋体" w:cs="宋体"/>
                <w:b/>
                <w:bCs/>
                <w:kern w:val="0"/>
                <w:szCs w:val="21"/>
              </w:rPr>
              <w:t>)受理</w:t>
            </w: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对符合确认条件的,当场受理。</w:t>
            </w:r>
          </w:p>
        </w:tc>
      </w:tr>
      <w:tr w:rsidR="00656EE9" w:rsidRPr="00656EE9" w:rsidTr="00DA3315">
        <w:trPr>
          <w:trHeight w:val="794"/>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2</w:t>
            </w:r>
          </w:p>
        </w:tc>
        <w:tc>
          <w:tcPr>
            <w:tcW w:w="0" w:type="auto"/>
            <w:vMerge/>
            <w:tcBorders>
              <w:top w:val="nil"/>
              <w:left w:val="nil"/>
              <w:bottom w:val="single" w:sz="8" w:space="0" w:color="000000"/>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申请材料不齐全或者不符合法定形式的,应当一次性告知申请人需要补正的全部内容和合理的补正期限。</w:t>
            </w:r>
          </w:p>
        </w:tc>
      </w:tr>
      <w:tr w:rsidR="00656EE9" w:rsidRPr="00656EE9" w:rsidTr="00DA3315">
        <w:trPr>
          <w:trHeight w:val="776"/>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3</w:t>
            </w:r>
          </w:p>
        </w:tc>
        <w:tc>
          <w:tcPr>
            <w:tcW w:w="0" w:type="auto"/>
            <w:vMerge/>
            <w:tcBorders>
              <w:top w:val="nil"/>
              <w:left w:val="nil"/>
              <w:bottom w:val="single" w:sz="8" w:space="0" w:color="000000"/>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对不符合受理条件的,应当书面告知办理人不予办理行政确认的理由和依据。</w:t>
            </w:r>
          </w:p>
        </w:tc>
      </w:tr>
      <w:tr w:rsidR="00656EE9" w:rsidRPr="00656EE9" w:rsidTr="00DA3315">
        <w:trPr>
          <w:trHeight w:val="43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4</w:t>
            </w:r>
          </w:p>
        </w:tc>
        <w:tc>
          <w:tcPr>
            <w:tcW w:w="1407"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(二)确认</w:t>
            </w: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在法定期限(承诺期限)内完成确认。</w:t>
            </w:r>
          </w:p>
        </w:tc>
      </w:tr>
      <w:tr w:rsidR="00656EE9" w:rsidRPr="00656EE9" w:rsidTr="00DA3315">
        <w:trPr>
          <w:trHeight w:val="815"/>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lastRenderedPageBreak/>
              <w:t>5</w:t>
            </w:r>
          </w:p>
        </w:tc>
        <w:tc>
          <w:tcPr>
            <w:tcW w:w="0" w:type="auto"/>
            <w:vMerge/>
            <w:tcBorders>
              <w:top w:val="nil"/>
              <w:left w:val="nil"/>
              <w:bottom w:val="single" w:sz="8" w:space="0" w:color="000000"/>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严格按照流程图规定进行研究确认,不得提高确认标准、扩大确认范围等。</w:t>
            </w:r>
          </w:p>
        </w:tc>
      </w:tr>
      <w:tr w:rsidR="00656EE9" w:rsidRPr="00656EE9" w:rsidTr="00DA3315">
        <w:trPr>
          <w:trHeight w:val="762"/>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6</w:t>
            </w:r>
          </w:p>
        </w:tc>
        <w:tc>
          <w:tcPr>
            <w:tcW w:w="0" w:type="auto"/>
            <w:vMerge/>
            <w:tcBorders>
              <w:top w:val="nil"/>
              <w:left w:val="nil"/>
              <w:bottom w:val="single" w:sz="8" w:space="0" w:color="000000"/>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按照一定的技术规范要求以书面形式</w:t>
            </w:r>
            <w:proofErr w:type="gramStart"/>
            <w:r w:rsidRPr="00656EE9">
              <w:rPr>
                <w:rFonts w:ascii="宋体" w:eastAsia="宋体" w:hAnsi="宋体" w:cs="宋体"/>
                <w:kern w:val="0"/>
                <w:szCs w:val="21"/>
              </w:rPr>
              <w:t>作出</w:t>
            </w:r>
            <w:proofErr w:type="gramEnd"/>
            <w:r w:rsidRPr="00656EE9">
              <w:rPr>
                <w:rFonts w:ascii="宋体" w:eastAsia="宋体" w:hAnsi="宋体" w:cs="宋体"/>
                <w:kern w:val="0"/>
                <w:szCs w:val="21"/>
              </w:rPr>
              <w:t xml:space="preserve">决定,并发放确认文书。 </w:t>
            </w:r>
          </w:p>
        </w:tc>
      </w:tr>
      <w:tr w:rsidR="00656EE9" w:rsidRPr="00656EE9" w:rsidTr="00DA3315">
        <w:trPr>
          <w:trHeight w:val="537"/>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7</w:t>
            </w:r>
          </w:p>
        </w:tc>
        <w:tc>
          <w:tcPr>
            <w:tcW w:w="0" w:type="auto"/>
            <w:vMerge/>
            <w:tcBorders>
              <w:top w:val="nil"/>
              <w:left w:val="nil"/>
              <w:bottom w:val="single" w:sz="8" w:space="0" w:color="000000"/>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不符合确认要求的不予确认,并说明理由。</w:t>
            </w:r>
          </w:p>
        </w:tc>
      </w:tr>
      <w:tr w:rsidR="00656EE9" w:rsidRPr="00656EE9" w:rsidTr="00DA3315">
        <w:trPr>
          <w:trHeight w:val="56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8</w:t>
            </w:r>
          </w:p>
        </w:tc>
        <w:tc>
          <w:tcPr>
            <w:tcW w:w="140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(三)送达</w:t>
            </w: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送达程序参照民事诉讼法有关规定执行。</w:t>
            </w:r>
          </w:p>
        </w:tc>
      </w:tr>
      <w:tr w:rsidR="00656EE9" w:rsidRPr="00656EE9" w:rsidTr="00DA3315">
        <w:trPr>
          <w:trHeight w:val="773"/>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9</w:t>
            </w:r>
          </w:p>
        </w:tc>
        <w:tc>
          <w:tcPr>
            <w:tcW w:w="14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(四)事后监管</w:t>
            </w:r>
          </w:p>
        </w:tc>
        <w:tc>
          <w:tcPr>
            <w:tcW w:w="68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 xml:space="preserve">建立健全事后监管制度,依法履行监督责任。 </w:t>
            </w:r>
          </w:p>
        </w:tc>
      </w:tr>
      <w:tr w:rsidR="00656EE9" w:rsidRPr="00656EE9" w:rsidTr="00DA3315">
        <w:trPr>
          <w:trHeight w:val="653"/>
          <w:jc w:val="center"/>
        </w:trPr>
        <w:tc>
          <w:tcPr>
            <w:tcW w:w="883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DA3315" w:rsidP="00656EE9">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rPr>
              <w:t>三</w:t>
            </w:r>
            <w:r w:rsidR="00656EE9" w:rsidRPr="00656EE9">
              <w:rPr>
                <w:rFonts w:ascii="宋体" w:eastAsia="宋体" w:hAnsi="宋体" w:cs="宋体" w:hint="eastAsia"/>
                <w:b/>
                <w:bCs/>
                <w:kern w:val="0"/>
              </w:rPr>
              <w:t>、行政给付行政职权运行通用责任清单</w:t>
            </w:r>
          </w:p>
        </w:tc>
      </w:tr>
      <w:tr w:rsidR="00656EE9" w:rsidRPr="00656EE9" w:rsidTr="00DA3315">
        <w:trPr>
          <w:trHeight w:val="567"/>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序号</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运行环节</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责任事项</w:t>
            </w:r>
          </w:p>
        </w:tc>
      </w:tr>
      <w:tr w:rsidR="00656EE9" w:rsidRPr="00656EE9" w:rsidTr="00DA3315">
        <w:trPr>
          <w:trHeight w:val="1068"/>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1</w:t>
            </w:r>
          </w:p>
        </w:tc>
        <w:tc>
          <w:tcPr>
            <w:tcW w:w="1440" w:type="dxa"/>
            <w:gridSpan w:val="2"/>
            <w:vMerge w:val="restart"/>
            <w:tcBorders>
              <w:top w:val="nil"/>
              <w:left w:val="nil"/>
              <w:bottom w:val="nil"/>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w:t>
            </w:r>
            <w:proofErr w:type="gramStart"/>
            <w:r w:rsidRPr="00656EE9">
              <w:rPr>
                <w:rFonts w:ascii="宋体" w:eastAsia="宋体" w:hAnsi="宋体" w:cs="宋体"/>
                <w:b/>
                <w:bCs/>
                <w:kern w:val="0"/>
                <w:szCs w:val="21"/>
              </w:rPr>
              <w:t>一</w:t>
            </w:r>
            <w:proofErr w:type="gramEnd"/>
            <w:r w:rsidRPr="00656EE9">
              <w:rPr>
                <w:rFonts w:ascii="宋体" w:eastAsia="宋体" w:hAnsi="宋体" w:cs="宋体"/>
                <w:b/>
                <w:bCs/>
                <w:kern w:val="0"/>
                <w:szCs w:val="21"/>
              </w:rPr>
              <w:t>)受理</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对符合受理条件的,应当受理,并制作受理通知书;对不符合受理条件的不予受理,并书面告知申请人不予受理的理由和依据。</w:t>
            </w:r>
          </w:p>
        </w:tc>
      </w:tr>
      <w:tr w:rsidR="00656EE9" w:rsidRPr="00656EE9" w:rsidTr="00DA3315">
        <w:trPr>
          <w:trHeight w:val="770"/>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2</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申请材料不齐全或者不符合法定形式的,应当一次性告知申请人需要补正的全部内容和合理的补正期限。</w:t>
            </w:r>
          </w:p>
        </w:tc>
      </w:tr>
      <w:tr w:rsidR="00656EE9" w:rsidRPr="00656EE9" w:rsidTr="00DA3315">
        <w:trPr>
          <w:trHeight w:val="567"/>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3</w:t>
            </w:r>
          </w:p>
        </w:tc>
        <w:tc>
          <w:tcPr>
            <w:tcW w:w="144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(二)审查</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在法定期限(承诺期限)内完成审查。</w:t>
            </w:r>
          </w:p>
        </w:tc>
      </w:tr>
      <w:tr w:rsidR="00656EE9" w:rsidRPr="00656EE9" w:rsidTr="00DA3315">
        <w:trPr>
          <w:trHeight w:val="816"/>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4</w:t>
            </w:r>
          </w:p>
        </w:tc>
        <w:tc>
          <w:tcPr>
            <w:tcW w:w="1440" w:type="dxa"/>
            <w:gridSpan w:val="2"/>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(三)决定</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对于符合条件的,</w:t>
            </w:r>
            <w:proofErr w:type="gramStart"/>
            <w:r w:rsidRPr="00656EE9">
              <w:rPr>
                <w:rFonts w:ascii="宋体" w:eastAsia="宋体" w:hAnsi="宋体" w:cs="宋体"/>
                <w:kern w:val="0"/>
                <w:szCs w:val="21"/>
              </w:rPr>
              <w:t>作出给于</w:t>
            </w:r>
            <w:proofErr w:type="gramEnd"/>
            <w:r w:rsidRPr="00656EE9">
              <w:rPr>
                <w:rFonts w:ascii="宋体" w:eastAsia="宋体" w:hAnsi="宋体" w:cs="宋体"/>
                <w:kern w:val="0"/>
                <w:szCs w:val="21"/>
              </w:rPr>
              <w:t>给付的决定,明确给付标准以及后续办事事宜,并通知申请人前来领取。</w:t>
            </w:r>
          </w:p>
        </w:tc>
      </w:tr>
      <w:tr w:rsidR="00656EE9" w:rsidRPr="00656EE9" w:rsidTr="00DA3315">
        <w:trPr>
          <w:trHeight w:val="770"/>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lastRenderedPageBreak/>
              <w:t>5</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对不符合给付条件的,书面告知申请人不予给付的理由和依据。</w:t>
            </w:r>
          </w:p>
        </w:tc>
      </w:tr>
      <w:tr w:rsidR="00656EE9" w:rsidRPr="00656EE9" w:rsidTr="00DA3315">
        <w:trPr>
          <w:trHeight w:val="567"/>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6</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(四)给付</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按照</w:t>
            </w:r>
            <w:r w:rsidRPr="00656EE9">
              <w:rPr>
                <w:rFonts w:ascii="宋体" w:eastAsia="宋体" w:hAnsi="宋体" w:cs="宋体"/>
                <w:color w:val="000000"/>
                <w:kern w:val="0"/>
                <w:szCs w:val="21"/>
              </w:rPr>
              <w:t>规定标准</w:t>
            </w:r>
            <w:r w:rsidRPr="00656EE9">
              <w:rPr>
                <w:rFonts w:ascii="宋体" w:eastAsia="宋体" w:hAnsi="宋体" w:cs="宋体"/>
                <w:kern w:val="0"/>
                <w:szCs w:val="21"/>
              </w:rPr>
              <w:t>予以给付。</w:t>
            </w:r>
          </w:p>
        </w:tc>
      </w:tr>
      <w:tr w:rsidR="00656EE9" w:rsidRPr="00656EE9" w:rsidTr="00DA3315">
        <w:trPr>
          <w:trHeight w:val="642"/>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7</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(五)事后监管</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开展检查,加强日常监管。</w:t>
            </w:r>
          </w:p>
        </w:tc>
      </w:tr>
      <w:tr w:rsidR="00656EE9" w:rsidRPr="00656EE9" w:rsidTr="00DA3315">
        <w:trPr>
          <w:trHeight w:val="721"/>
          <w:jc w:val="center"/>
        </w:trPr>
        <w:tc>
          <w:tcPr>
            <w:tcW w:w="883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DA3315" w:rsidP="00656EE9">
            <w:pPr>
              <w:widowControl/>
              <w:spacing w:before="100" w:beforeAutospacing="1" w:after="100" w:afterAutospacing="1"/>
              <w:jc w:val="center"/>
              <w:rPr>
                <w:rFonts w:ascii="宋体" w:eastAsia="宋体" w:hAnsi="宋体" w:cs="宋体"/>
                <w:kern w:val="0"/>
                <w:sz w:val="24"/>
                <w:szCs w:val="24"/>
              </w:rPr>
            </w:pPr>
            <w:r>
              <w:rPr>
                <w:rFonts w:ascii="宋体" w:eastAsia="宋体" w:hAnsi="宋体" w:cs="宋体" w:hint="eastAsia"/>
                <w:b/>
                <w:bCs/>
                <w:kern w:val="0"/>
              </w:rPr>
              <w:t>四</w:t>
            </w:r>
            <w:r w:rsidR="00656EE9" w:rsidRPr="00656EE9">
              <w:rPr>
                <w:rFonts w:ascii="宋体" w:eastAsia="宋体" w:hAnsi="宋体" w:cs="宋体" w:hint="eastAsia"/>
                <w:b/>
                <w:bCs/>
                <w:kern w:val="0"/>
              </w:rPr>
              <w:t>、行政检查类行政职权运行通用责任清单</w:t>
            </w:r>
          </w:p>
        </w:tc>
      </w:tr>
      <w:tr w:rsidR="00656EE9" w:rsidRPr="00656EE9" w:rsidTr="00DA3315">
        <w:trPr>
          <w:trHeight w:val="701"/>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序号</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运行环节</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spacing w:before="100" w:beforeAutospacing="1" w:after="100" w:afterAutospacing="1"/>
              <w:jc w:val="center"/>
              <w:rPr>
                <w:rFonts w:ascii="宋体" w:eastAsia="宋体" w:hAnsi="宋体" w:cs="宋体"/>
                <w:kern w:val="0"/>
                <w:sz w:val="24"/>
                <w:szCs w:val="24"/>
              </w:rPr>
            </w:pPr>
            <w:r w:rsidRPr="00656EE9">
              <w:rPr>
                <w:rFonts w:ascii="宋体" w:eastAsia="宋体" w:hAnsi="宋体" w:cs="宋体" w:hint="eastAsia"/>
                <w:b/>
                <w:bCs/>
                <w:kern w:val="0"/>
              </w:rPr>
              <w:t>责任事项</w:t>
            </w:r>
          </w:p>
        </w:tc>
      </w:tr>
      <w:tr w:rsidR="00656EE9" w:rsidRPr="00656EE9" w:rsidTr="00DA3315">
        <w:trPr>
          <w:trHeight w:val="757"/>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1</w:t>
            </w:r>
          </w:p>
        </w:tc>
        <w:tc>
          <w:tcPr>
            <w:tcW w:w="1440" w:type="dxa"/>
            <w:gridSpan w:val="2"/>
            <w:vMerge w:val="restart"/>
            <w:tcBorders>
              <w:top w:val="nil"/>
              <w:left w:val="nil"/>
              <w:bottom w:val="nil"/>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w:t>
            </w:r>
            <w:proofErr w:type="gramStart"/>
            <w:r w:rsidRPr="00656EE9">
              <w:rPr>
                <w:rFonts w:ascii="宋体" w:eastAsia="宋体" w:hAnsi="宋体" w:cs="宋体"/>
                <w:b/>
                <w:bCs/>
                <w:kern w:val="0"/>
                <w:szCs w:val="21"/>
              </w:rPr>
              <w:t>一</w:t>
            </w:r>
            <w:proofErr w:type="gramEnd"/>
            <w:r w:rsidRPr="00656EE9">
              <w:rPr>
                <w:rFonts w:ascii="宋体" w:eastAsia="宋体" w:hAnsi="宋体" w:cs="宋体"/>
                <w:b/>
                <w:bCs/>
                <w:kern w:val="0"/>
                <w:szCs w:val="21"/>
              </w:rPr>
              <w:t>)制定</w:t>
            </w:r>
            <w:r w:rsidR="00951B02">
              <w:rPr>
                <w:rFonts w:ascii="宋体" w:eastAsia="宋体" w:hAnsi="宋体" w:cs="宋体" w:hint="eastAsia"/>
                <w:b/>
                <w:bCs/>
                <w:kern w:val="0"/>
                <w:szCs w:val="21"/>
              </w:rPr>
              <w:t>计划</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kern w:val="0"/>
                <w:szCs w:val="21"/>
              </w:rPr>
              <w:t>实施检查前应当依法制定含有正当理由、事项和内容的检查</w:t>
            </w:r>
            <w:r>
              <w:rPr>
                <w:rFonts w:ascii="宋体" w:eastAsia="宋体" w:hAnsi="宋体" w:cs="宋体" w:hint="eastAsia"/>
                <w:kern w:val="0"/>
                <w:szCs w:val="21"/>
              </w:rPr>
              <w:t>计划</w:t>
            </w:r>
            <w:r w:rsidR="00656EE9" w:rsidRPr="00656EE9">
              <w:rPr>
                <w:rFonts w:ascii="宋体" w:eastAsia="宋体" w:hAnsi="宋体" w:cs="宋体"/>
                <w:kern w:val="0"/>
                <w:szCs w:val="21"/>
              </w:rPr>
              <w:t>。</w:t>
            </w:r>
          </w:p>
        </w:tc>
      </w:tr>
      <w:tr w:rsidR="00656EE9" w:rsidRPr="00656EE9" w:rsidTr="00DA3315">
        <w:trPr>
          <w:trHeight w:val="753"/>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2</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同一行政机关的多个内设机构和下属机构对同一当事人不同事项的行政检查,能够合并检查的应当合并检查。</w:t>
            </w:r>
          </w:p>
        </w:tc>
      </w:tr>
      <w:tr w:rsidR="00656EE9" w:rsidRPr="00656EE9" w:rsidTr="00DA3315">
        <w:trPr>
          <w:trHeight w:val="438"/>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1440" w:type="dxa"/>
            <w:gridSpan w:val="2"/>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(二)实施检查</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kern w:val="0"/>
                <w:szCs w:val="21"/>
              </w:rPr>
              <w:t>依照检查</w:t>
            </w:r>
            <w:r>
              <w:rPr>
                <w:rFonts w:ascii="宋体" w:eastAsia="宋体" w:hAnsi="宋体" w:cs="宋体" w:hint="eastAsia"/>
                <w:kern w:val="0"/>
                <w:szCs w:val="21"/>
              </w:rPr>
              <w:t>计划</w:t>
            </w:r>
            <w:r w:rsidR="00656EE9" w:rsidRPr="00656EE9">
              <w:rPr>
                <w:rFonts w:ascii="宋体" w:eastAsia="宋体" w:hAnsi="宋体" w:cs="宋体"/>
                <w:kern w:val="0"/>
                <w:szCs w:val="21"/>
              </w:rPr>
              <w:t>规定的时限、范围开展检查。</w:t>
            </w:r>
          </w:p>
        </w:tc>
      </w:tr>
      <w:tr w:rsidR="00656EE9" w:rsidRPr="00656EE9" w:rsidTr="00DA3315">
        <w:trPr>
          <w:trHeight w:val="488"/>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t>4</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jc w:val="left"/>
              <w:rPr>
                <w:rFonts w:ascii="宋体" w:eastAsia="宋体" w:hAnsi="宋体" w:cs="宋体"/>
                <w:kern w:val="0"/>
                <w:sz w:val="24"/>
                <w:szCs w:val="24"/>
              </w:rPr>
            </w:pPr>
            <w:r w:rsidRPr="00656EE9">
              <w:rPr>
                <w:rFonts w:ascii="宋体" w:eastAsia="宋体" w:hAnsi="宋体" w:cs="宋体"/>
                <w:kern w:val="0"/>
                <w:szCs w:val="21"/>
              </w:rPr>
              <w:t>实施检查时应当出示执法身份证件、</w:t>
            </w:r>
            <w:r w:rsidR="00951B02">
              <w:rPr>
                <w:rFonts w:ascii="宋体" w:eastAsia="宋体" w:hAnsi="宋体" w:cs="宋体" w:hint="eastAsia"/>
                <w:kern w:val="0"/>
                <w:szCs w:val="21"/>
              </w:rPr>
              <w:t>确保2人以上执法人员开展行政检查</w:t>
            </w:r>
            <w:r w:rsidRPr="00656EE9">
              <w:rPr>
                <w:rFonts w:ascii="宋体" w:eastAsia="宋体" w:hAnsi="宋体" w:cs="宋体"/>
                <w:kern w:val="0"/>
                <w:szCs w:val="21"/>
              </w:rPr>
              <w:t>。</w:t>
            </w:r>
          </w:p>
        </w:tc>
      </w:tr>
      <w:tr w:rsidR="00656EE9" w:rsidRPr="00656EE9" w:rsidTr="00DA3315">
        <w:trPr>
          <w:trHeight w:val="524"/>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依法查阅资料、查看现场、听取当事人陈述申辩并取证。</w:t>
            </w:r>
          </w:p>
        </w:tc>
      </w:tr>
      <w:tr w:rsidR="00656EE9" w:rsidRPr="00656EE9" w:rsidTr="00DA3315">
        <w:trPr>
          <w:trHeight w:val="460"/>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实施检查应当不影响当事人的正常生产经营活动与生活。</w:t>
            </w:r>
          </w:p>
        </w:tc>
      </w:tr>
      <w:tr w:rsidR="00656EE9" w:rsidRPr="00656EE9" w:rsidTr="00DA3315">
        <w:trPr>
          <w:trHeight w:val="755"/>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jc w:val="left"/>
              <w:rPr>
                <w:rFonts w:ascii="宋体" w:eastAsia="宋体" w:hAnsi="宋体" w:cs="宋体"/>
                <w:kern w:val="0"/>
                <w:sz w:val="24"/>
                <w:szCs w:val="24"/>
              </w:rPr>
            </w:pPr>
            <w:r w:rsidRPr="00656EE9">
              <w:rPr>
                <w:rFonts w:ascii="宋体" w:eastAsia="宋体" w:hAnsi="宋体" w:cs="宋体"/>
                <w:kern w:val="0"/>
                <w:szCs w:val="21"/>
              </w:rPr>
              <w:t>依法告知当事人检查中发现的违法行为及处理意见,</w:t>
            </w:r>
            <w:r w:rsidR="00951B02">
              <w:rPr>
                <w:rFonts w:ascii="宋体" w:eastAsia="宋体" w:hAnsi="宋体" w:cs="宋体" w:hint="eastAsia"/>
                <w:kern w:val="0"/>
                <w:szCs w:val="21"/>
              </w:rPr>
              <w:t>移送相关综合执法部门</w:t>
            </w:r>
            <w:r w:rsidRPr="00656EE9">
              <w:rPr>
                <w:rFonts w:ascii="宋体" w:eastAsia="宋体" w:hAnsi="宋体" w:cs="宋体"/>
                <w:kern w:val="0"/>
                <w:szCs w:val="21"/>
              </w:rPr>
              <w:t>。</w:t>
            </w:r>
          </w:p>
        </w:tc>
      </w:tr>
      <w:tr w:rsidR="00656EE9" w:rsidRPr="00656EE9" w:rsidTr="00DA3315">
        <w:trPr>
          <w:trHeight w:val="567"/>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8</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color w:val="000000"/>
                <w:kern w:val="0"/>
                <w:szCs w:val="21"/>
              </w:rPr>
              <w:t>对检查中发现的违法行为应当予以制止和纠正。</w:t>
            </w:r>
          </w:p>
        </w:tc>
      </w:tr>
      <w:tr w:rsidR="00656EE9" w:rsidRPr="00656EE9" w:rsidTr="00DA3315">
        <w:trPr>
          <w:trHeight w:val="595"/>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951B02" w:rsidP="00656EE9">
            <w:pPr>
              <w:widowControl/>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实施行政检查中不得乱收费、乱罚款、乱摊派,严禁吃、拿、卡、要。</w:t>
            </w:r>
          </w:p>
        </w:tc>
      </w:tr>
      <w:tr w:rsidR="00656EE9" w:rsidRPr="00656EE9" w:rsidTr="00DA3315">
        <w:trPr>
          <w:trHeight w:val="413"/>
          <w:jc w:val="center"/>
        </w:trPr>
        <w:tc>
          <w:tcPr>
            <w:tcW w:w="5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656EE9" w:rsidRPr="00656EE9" w:rsidRDefault="00656EE9" w:rsidP="00951B02">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1</w:t>
            </w:r>
            <w:r w:rsidR="00951B02">
              <w:rPr>
                <w:rFonts w:ascii="宋体" w:eastAsia="宋体" w:hAnsi="宋体" w:cs="宋体" w:hint="eastAsia"/>
                <w:kern w:val="0"/>
                <w:sz w:val="24"/>
                <w:szCs w:val="24"/>
              </w:rPr>
              <w:t>0</w:t>
            </w:r>
          </w:p>
        </w:tc>
        <w:tc>
          <w:tcPr>
            <w:tcW w:w="0" w:type="auto"/>
            <w:gridSpan w:val="2"/>
            <w:vMerge/>
            <w:tcBorders>
              <w:top w:val="nil"/>
              <w:left w:val="single" w:sz="8" w:space="0" w:color="auto"/>
              <w:bottom w:val="single" w:sz="8" w:space="0" w:color="auto"/>
              <w:right w:val="single" w:sz="8" w:space="0" w:color="auto"/>
            </w:tcBorders>
            <w:vAlign w:val="center"/>
            <w:hideMark/>
          </w:tcPr>
          <w:p w:rsidR="00656EE9" w:rsidRPr="00656EE9" w:rsidRDefault="00656EE9" w:rsidP="00656EE9">
            <w:pPr>
              <w:widowControl/>
              <w:jc w:val="left"/>
              <w:rPr>
                <w:rFonts w:ascii="宋体" w:eastAsia="宋体" w:hAnsi="宋体" w:cs="宋体"/>
                <w:kern w:val="0"/>
                <w:sz w:val="24"/>
                <w:szCs w:val="24"/>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不得放弃、推诿、拖延、拒绝履行检查职责。</w:t>
            </w:r>
          </w:p>
        </w:tc>
      </w:tr>
      <w:tr w:rsidR="00656EE9" w:rsidRPr="00656EE9" w:rsidTr="00DA3315">
        <w:trPr>
          <w:trHeight w:val="789"/>
          <w:jc w:val="center"/>
        </w:trPr>
        <w:tc>
          <w:tcPr>
            <w:tcW w:w="5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951B02">
            <w:pPr>
              <w:widowControl/>
              <w:jc w:val="left"/>
              <w:rPr>
                <w:rFonts w:ascii="宋体" w:eastAsia="宋体" w:hAnsi="宋体" w:cs="宋体"/>
                <w:kern w:val="0"/>
                <w:sz w:val="24"/>
                <w:szCs w:val="24"/>
              </w:rPr>
            </w:pPr>
            <w:r w:rsidRPr="00656EE9">
              <w:rPr>
                <w:rFonts w:ascii="宋体" w:eastAsia="宋体" w:hAnsi="宋体" w:cs="宋体" w:hint="eastAsia"/>
                <w:kern w:val="0"/>
                <w:sz w:val="24"/>
                <w:szCs w:val="24"/>
              </w:rPr>
              <w:t>1</w:t>
            </w:r>
            <w:r w:rsidR="00951B02">
              <w:rPr>
                <w:rFonts w:ascii="宋体" w:eastAsia="宋体" w:hAnsi="宋体" w:cs="宋体" w:hint="eastAsia"/>
                <w:kern w:val="0"/>
                <w:sz w:val="24"/>
                <w:szCs w:val="24"/>
              </w:rPr>
              <w:t>1</w:t>
            </w:r>
          </w:p>
        </w:tc>
        <w:tc>
          <w:tcPr>
            <w:tcW w:w="144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b/>
                <w:bCs/>
                <w:kern w:val="0"/>
                <w:szCs w:val="21"/>
              </w:rPr>
              <w:t>(三)事后监管</w:t>
            </w:r>
          </w:p>
        </w:tc>
        <w:tc>
          <w:tcPr>
            <w:tcW w:w="68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6EE9" w:rsidRPr="00656EE9" w:rsidRDefault="00656EE9" w:rsidP="00656EE9">
            <w:pPr>
              <w:widowControl/>
              <w:jc w:val="left"/>
              <w:rPr>
                <w:rFonts w:ascii="宋体" w:eastAsia="宋体" w:hAnsi="宋体" w:cs="宋体"/>
                <w:kern w:val="0"/>
                <w:sz w:val="24"/>
                <w:szCs w:val="24"/>
              </w:rPr>
            </w:pPr>
            <w:r w:rsidRPr="00656EE9">
              <w:rPr>
                <w:rFonts w:ascii="宋体" w:eastAsia="宋体" w:hAnsi="宋体" w:cs="宋体"/>
                <w:kern w:val="0"/>
                <w:szCs w:val="21"/>
              </w:rPr>
              <w:t>对检查情况进行汇总、分类、归档备查,并跟踪监测。</w:t>
            </w:r>
          </w:p>
        </w:tc>
      </w:tr>
    </w:tbl>
    <w:p w:rsidR="00BF7019" w:rsidRDefault="00BF7019"/>
    <w:p w:rsidR="00BF7019" w:rsidRPr="00BF7019" w:rsidRDefault="00BF7019">
      <w:r>
        <w:rPr>
          <w:rFonts w:hint="eastAsia"/>
        </w:rPr>
        <w:t>本清单根据</w:t>
      </w:r>
      <w:r>
        <w:rPr>
          <w:rFonts w:hint="eastAsia"/>
        </w:rPr>
        <w:t>2016</w:t>
      </w:r>
      <w:r>
        <w:rPr>
          <w:rFonts w:hint="eastAsia"/>
        </w:rPr>
        <w:t>年市政府法制办相关模板制定，各项具体事项调整情况以市政务服务办、市委编办、市政府法制办等提出事项调整情况为准，不在</w:t>
      </w:r>
      <w:proofErr w:type="gramStart"/>
      <w:r>
        <w:rPr>
          <w:rFonts w:hint="eastAsia"/>
        </w:rPr>
        <w:t>本责任</w:t>
      </w:r>
      <w:proofErr w:type="gramEnd"/>
      <w:r>
        <w:rPr>
          <w:rFonts w:hint="eastAsia"/>
        </w:rPr>
        <w:t>清单中重复表述。</w:t>
      </w:r>
    </w:p>
    <w:sectPr w:rsidR="00BF7019" w:rsidRPr="00BF7019" w:rsidSect="00656EE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DAF" w:rsidRDefault="00B16DAF" w:rsidP="00BF7019">
      <w:r>
        <w:separator/>
      </w:r>
    </w:p>
  </w:endnote>
  <w:endnote w:type="continuationSeparator" w:id="0">
    <w:p w:rsidR="00B16DAF" w:rsidRDefault="00B16DAF" w:rsidP="00BF70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DAF" w:rsidRDefault="00B16DAF" w:rsidP="00BF7019">
      <w:r>
        <w:separator/>
      </w:r>
    </w:p>
  </w:footnote>
  <w:footnote w:type="continuationSeparator" w:id="0">
    <w:p w:rsidR="00B16DAF" w:rsidRDefault="00B16DAF" w:rsidP="00BF70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6EE9"/>
    <w:rsid w:val="000204B1"/>
    <w:rsid w:val="000979D4"/>
    <w:rsid w:val="001062B7"/>
    <w:rsid w:val="00120DA7"/>
    <w:rsid w:val="00133ED3"/>
    <w:rsid w:val="00171777"/>
    <w:rsid w:val="001A74D3"/>
    <w:rsid w:val="00264C19"/>
    <w:rsid w:val="0029286B"/>
    <w:rsid w:val="002B306F"/>
    <w:rsid w:val="0031324A"/>
    <w:rsid w:val="0032033B"/>
    <w:rsid w:val="003309BB"/>
    <w:rsid w:val="00434FBB"/>
    <w:rsid w:val="005B09B3"/>
    <w:rsid w:val="005E3B07"/>
    <w:rsid w:val="00656EE9"/>
    <w:rsid w:val="00692BAF"/>
    <w:rsid w:val="006D17C7"/>
    <w:rsid w:val="006D1E4E"/>
    <w:rsid w:val="006D6735"/>
    <w:rsid w:val="00717E55"/>
    <w:rsid w:val="007336D4"/>
    <w:rsid w:val="007913D8"/>
    <w:rsid w:val="00805CEB"/>
    <w:rsid w:val="00811D19"/>
    <w:rsid w:val="00884D8A"/>
    <w:rsid w:val="008F4A50"/>
    <w:rsid w:val="00951B02"/>
    <w:rsid w:val="00956BB8"/>
    <w:rsid w:val="00961BC1"/>
    <w:rsid w:val="0097010A"/>
    <w:rsid w:val="009C4ADB"/>
    <w:rsid w:val="009C6385"/>
    <w:rsid w:val="009C73E0"/>
    <w:rsid w:val="00A26797"/>
    <w:rsid w:val="00A34966"/>
    <w:rsid w:val="00A62E76"/>
    <w:rsid w:val="00B16DAF"/>
    <w:rsid w:val="00BA30A0"/>
    <w:rsid w:val="00BF0345"/>
    <w:rsid w:val="00BF7019"/>
    <w:rsid w:val="00C81C30"/>
    <w:rsid w:val="00CA642D"/>
    <w:rsid w:val="00CF642B"/>
    <w:rsid w:val="00D66AE5"/>
    <w:rsid w:val="00D82FC0"/>
    <w:rsid w:val="00D84FF6"/>
    <w:rsid w:val="00DA3315"/>
    <w:rsid w:val="00DA7F0C"/>
    <w:rsid w:val="00DF20B3"/>
    <w:rsid w:val="00E906BA"/>
    <w:rsid w:val="00EB7334"/>
    <w:rsid w:val="00EE63F3"/>
    <w:rsid w:val="00F071B0"/>
    <w:rsid w:val="00F564A2"/>
    <w:rsid w:val="00F97A93"/>
    <w:rsid w:val="00FB6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EE9"/>
    <w:rPr>
      <w:b/>
      <w:bCs/>
    </w:rPr>
  </w:style>
  <w:style w:type="character" w:customStyle="1" w:styleId="style91">
    <w:name w:val="style91"/>
    <w:basedOn w:val="a0"/>
    <w:rsid w:val="00656EE9"/>
    <w:rPr>
      <w:rFonts w:ascii="宋体" w:eastAsia="宋体" w:hAnsi="宋体" w:hint="eastAsia"/>
      <w:sz w:val="21"/>
      <w:szCs w:val="21"/>
    </w:rPr>
  </w:style>
  <w:style w:type="paragraph" w:styleId="a4">
    <w:name w:val="header"/>
    <w:basedOn w:val="a"/>
    <w:link w:val="Char"/>
    <w:uiPriority w:val="99"/>
    <w:semiHidden/>
    <w:unhideWhenUsed/>
    <w:rsid w:val="00BF7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F7019"/>
    <w:rPr>
      <w:sz w:val="18"/>
      <w:szCs w:val="18"/>
    </w:rPr>
  </w:style>
  <w:style w:type="paragraph" w:styleId="a5">
    <w:name w:val="footer"/>
    <w:basedOn w:val="a"/>
    <w:link w:val="Char0"/>
    <w:uiPriority w:val="99"/>
    <w:semiHidden/>
    <w:unhideWhenUsed/>
    <w:rsid w:val="00BF701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F7019"/>
    <w:rPr>
      <w:sz w:val="18"/>
      <w:szCs w:val="18"/>
    </w:rPr>
  </w:style>
</w:styles>
</file>

<file path=word/webSettings.xml><?xml version="1.0" encoding="utf-8"?>
<w:webSettings xmlns:r="http://schemas.openxmlformats.org/officeDocument/2006/relationships" xmlns:w="http://schemas.openxmlformats.org/wordprocessingml/2006/main">
  <w:divs>
    <w:div w:id="1465392083">
      <w:bodyDiv w:val="1"/>
      <w:marLeft w:val="0"/>
      <w:marRight w:val="0"/>
      <w:marTop w:val="0"/>
      <w:marBottom w:val="0"/>
      <w:divBdr>
        <w:top w:val="none" w:sz="0" w:space="0" w:color="auto"/>
        <w:left w:val="none" w:sz="0" w:space="0" w:color="auto"/>
        <w:bottom w:val="none" w:sz="0" w:space="0" w:color="auto"/>
        <w:right w:val="none" w:sz="0" w:space="0" w:color="auto"/>
      </w:divBdr>
      <w:divsChild>
        <w:div w:id="1807552692">
          <w:marLeft w:val="0"/>
          <w:marRight w:val="0"/>
          <w:marTop w:val="0"/>
          <w:marBottom w:val="0"/>
          <w:divBdr>
            <w:top w:val="none" w:sz="0" w:space="0" w:color="auto"/>
            <w:left w:val="none" w:sz="0" w:space="0" w:color="auto"/>
            <w:bottom w:val="none" w:sz="0" w:space="0" w:color="auto"/>
            <w:right w:val="none" w:sz="0" w:space="0" w:color="auto"/>
          </w:divBdr>
          <w:divsChild>
            <w:div w:id="418523282">
              <w:marLeft w:val="0"/>
              <w:marRight w:val="0"/>
              <w:marTop w:val="300"/>
              <w:marBottom w:val="0"/>
              <w:divBdr>
                <w:top w:val="none" w:sz="0" w:space="0" w:color="auto"/>
                <w:left w:val="none" w:sz="0" w:space="0" w:color="auto"/>
                <w:bottom w:val="none" w:sz="0" w:space="0" w:color="auto"/>
                <w:right w:val="none" w:sz="0" w:space="0" w:color="auto"/>
              </w:divBdr>
              <w:divsChild>
                <w:div w:id="1681274117">
                  <w:marLeft w:val="0"/>
                  <w:marRight w:val="0"/>
                  <w:marTop w:val="0"/>
                  <w:marBottom w:val="0"/>
                  <w:divBdr>
                    <w:top w:val="none" w:sz="0" w:space="0" w:color="auto"/>
                    <w:left w:val="none" w:sz="0" w:space="0" w:color="auto"/>
                    <w:bottom w:val="none" w:sz="0" w:space="0" w:color="auto"/>
                    <w:right w:val="none" w:sz="0" w:space="0" w:color="auto"/>
                  </w:divBdr>
                  <w:divsChild>
                    <w:div w:id="107358170">
                      <w:marLeft w:val="0"/>
                      <w:marRight w:val="0"/>
                      <w:marTop w:val="0"/>
                      <w:marBottom w:val="0"/>
                      <w:divBdr>
                        <w:top w:val="none" w:sz="0" w:space="0" w:color="auto"/>
                        <w:left w:val="none" w:sz="0" w:space="0" w:color="auto"/>
                        <w:bottom w:val="none" w:sz="0" w:space="0" w:color="auto"/>
                        <w:right w:val="none" w:sz="0" w:space="0" w:color="auto"/>
                      </w:divBdr>
                      <w:divsChild>
                        <w:div w:id="20349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262</Words>
  <Characters>1499</Characters>
  <Application>Microsoft Office Word</Application>
  <DocSecurity>0</DocSecurity>
  <Lines>12</Lines>
  <Paragraphs>3</Paragraphs>
  <ScaleCrop>false</ScaleCrop>
  <Company>MS</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2026-07-20T02:41:00Z</dcterms:created>
  <dcterms:modified xsi:type="dcterms:W3CDTF">2026-07-20T02:46:00Z</dcterms:modified>
</cp:coreProperties>
</file>